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B09" w:rsidRPr="005C0B09" w:rsidRDefault="005C0B09" w:rsidP="005C0B09">
      <w:pPr>
        <w:pStyle w:val="NoSpacing"/>
        <w:spacing w:line="276" w:lineRule="auto"/>
        <w:jc w:val="right"/>
        <w:rPr>
          <w:rFonts w:ascii="Bookman Old Style" w:hAnsi="Bookman Old Style"/>
          <w:sz w:val="24"/>
          <w:szCs w:val="24"/>
        </w:rPr>
      </w:pPr>
      <w:r w:rsidRPr="005C0B09">
        <w:rPr>
          <w:rFonts w:ascii="Bookman Old Style" w:hAnsi="Bookman Old Style"/>
          <w:sz w:val="24"/>
          <w:szCs w:val="24"/>
        </w:rPr>
        <w:t>S7U4_4</w:t>
      </w: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Q. Microbial Biosensors for Environmental Monitoring: Principles, types, and applications for detecting pollutants.</w:t>
      </w:r>
    </w:p>
    <w:p w:rsidR="007D709B" w:rsidRDefault="007D709B" w:rsidP="007D709B">
      <w:pPr>
        <w:pStyle w:val="NoSpacing"/>
        <w:spacing w:line="276" w:lineRule="auto"/>
        <w:jc w:val="both"/>
        <w:rPr>
          <w:rFonts w:ascii="Bookman Old Style" w:hAnsi="Bookman Old Style"/>
          <w:kern w:val="36"/>
          <w:sz w:val="24"/>
          <w:szCs w:val="24"/>
        </w:rPr>
      </w:pP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Microbial biosensors are analytical devices that use living microorganisms or microbial components as the biological sensing element to detect and measure specific substances in environmental samples. They combine the biological specificity of microorganisms with a physical or chemical transducer to provide rapid information about pollutants.</w:t>
      </w:r>
    </w:p>
    <w:p w:rsidR="007D709B" w:rsidRDefault="007D709B" w:rsidP="007D709B">
      <w:pPr>
        <w:pStyle w:val="NoSpacing"/>
        <w:spacing w:line="276" w:lineRule="auto"/>
        <w:jc w:val="both"/>
        <w:rPr>
          <w:rFonts w:ascii="Bookman Old Style" w:hAnsi="Bookman Old Style"/>
          <w:sz w:val="24"/>
          <w:szCs w:val="24"/>
        </w:rPr>
      </w:pP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1. Principle of Microbial Biosensors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A microbial biosensor generally consists of three main components:</w:t>
      </w:r>
    </w:p>
    <w:p w:rsidR="007D709B" w:rsidRPr="007D709B" w:rsidRDefault="007D709B" w:rsidP="007D709B">
      <w:pPr>
        <w:pStyle w:val="NoSpacing"/>
        <w:spacing w:line="276" w:lineRule="auto"/>
        <w:jc w:val="both"/>
        <w:rPr>
          <w:rFonts w:ascii="Bookman Old Style" w:hAnsi="Bookman Old Style"/>
          <w:sz w:val="24"/>
          <w:szCs w:val="24"/>
        </w:rPr>
      </w:pPr>
      <w:proofErr w:type="gramStart"/>
      <w:r w:rsidRPr="007D709B">
        <w:rPr>
          <w:rFonts w:ascii="Bookman Old Style" w:hAnsi="Bookman Old Style"/>
          <w:b/>
          <w:sz w:val="24"/>
          <w:szCs w:val="24"/>
        </w:rPr>
        <w:t>Biological sensing element –</w:t>
      </w:r>
      <w:r w:rsidRPr="007D709B">
        <w:rPr>
          <w:rFonts w:ascii="Bookman Old Style" w:hAnsi="Bookman Old Style"/>
          <w:sz w:val="24"/>
          <w:szCs w:val="24"/>
        </w:rPr>
        <w:t xml:space="preserve"> microorganism, microbial enzyme, or whole microbial cell.</w:t>
      </w:r>
      <w:proofErr w:type="gramEnd"/>
      <w:r w:rsidRPr="007D709B">
        <w:rPr>
          <w:rFonts w:ascii="Bookman Old Style" w:hAnsi="Bookman Old Style"/>
          <w:sz w:val="24"/>
          <w:szCs w:val="24"/>
        </w:rPr>
        <w:t xml:space="preserve"> </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b/>
          <w:sz w:val="24"/>
          <w:szCs w:val="24"/>
        </w:rPr>
        <w:t>Transducer –</w:t>
      </w:r>
      <w:r w:rsidRPr="007D709B">
        <w:rPr>
          <w:rFonts w:ascii="Bookman Old Style" w:hAnsi="Bookman Old Style"/>
          <w:sz w:val="24"/>
          <w:szCs w:val="24"/>
        </w:rPr>
        <w:t xml:space="preserve"> converts the biological response into an electrical, optical, thermal, or other measurable signal. </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b/>
          <w:sz w:val="24"/>
          <w:szCs w:val="24"/>
        </w:rPr>
        <w:t>Signal-processing system –</w:t>
      </w:r>
      <w:r w:rsidRPr="007D709B">
        <w:rPr>
          <w:rFonts w:ascii="Bookman Old Style" w:hAnsi="Bookman Old Style"/>
          <w:sz w:val="24"/>
          <w:szCs w:val="24"/>
        </w:rPr>
        <w:t xml:space="preserve"> amplifies and displays the signal. </w:t>
      </w:r>
    </w:p>
    <w:p w:rsidR="007D709B" w:rsidRPr="007D709B" w:rsidRDefault="007D709B" w:rsidP="007D709B">
      <w:pPr>
        <w:pStyle w:val="NoSpacing"/>
        <w:spacing w:line="276" w:lineRule="auto"/>
        <w:jc w:val="both"/>
        <w:rPr>
          <w:rFonts w:ascii="Bookman Old Style" w:hAnsi="Bookman Old Style"/>
          <w:b/>
          <w:sz w:val="24"/>
          <w:szCs w:val="24"/>
        </w:rPr>
      </w:pP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Basic principle</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Environmental sample</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Target pollutant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Microbial sensing element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Biological response</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roofErr w:type="gramStart"/>
      <w:r w:rsidRPr="007D709B">
        <w:rPr>
          <w:rFonts w:ascii="Bookman Old Style" w:hAnsi="Bookman Old Style" w:cs="Courier New"/>
          <w:sz w:val="24"/>
          <w:szCs w:val="24"/>
        </w:rPr>
        <w:t>growth</w:t>
      </w:r>
      <w:proofErr w:type="gramEnd"/>
      <w:r w:rsidRPr="007D709B">
        <w:rPr>
          <w:rFonts w:ascii="Bookman Old Style" w:hAnsi="Bookman Old Style" w:cs="Courier New"/>
          <w:sz w:val="24"/>
          <w:szCs w:val="24"/>
        </w:rPr>
        <w:t xml:space="preserve"> / respiration / enzyme activity)</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Transducer</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Electrical / optical signal</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Signal processing</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7D709B">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Pollutant detection</w:t>
      </w:r>
    </w:p>
    <w:p w:rsidR="007D709B" w:rsidRDefault="007D709B" w:rsidP="007D709B">
      <w:pPr>
        <w:pStyle w:val="NoSpacing"/>
        <w:spacing w:line="276" w:lineRule="auto"/>
        <w:jc w:val="both"/>
        <w:rPr>
          <w:rFonts w:ascii="Bookman Old Style" w:hAnsi="Bookman Old Style"/>
          <w:sz w:val="24"/>
          <w:szCs w:val="24"/>
        </w:rPr>
      </w:pP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For example, when a pollutant affects the respiration of a microorganism, the resulting change in oxygen consumption or carbon dioxide production can be measured and related to pollutant concentration.</w:t>
      </w:r>
    </w:p>
    <w:p w:rsidR="007D709B" w:rsidRPr="007D709B" w:rsidRDefault="007D709B" w:rsidP="007D709B">
      <w:pPr>
        <w:pStyle w:val="NoSpacing"/>
        <w:spacing w:line="276" w:lineRule="auto"/>
        <w:jc w:val="both"/>
        <w:rPr>
          <w:rFonts w:ascii="Bookman Old Style" w:hAnsi="Bookman Old Style"/>
          <w:sz w:val="24"/>
          <w:szCs w:val="24"/>
        </w:rPr>
      </w:pPr>
    </w:p>
    <w:p w:rsidR="007D709B" w:rsidRDefault="007D709B" w:rsidP="007D709B">
      <w:pPr>
        <w:pStyle w:val="NoSpacing"/>
        <w:spacing w:line="276" w:lineRule="auto"/>
        <w:jc w:val="both"/>
        <w:rPr>
          <w:rFonts w:ascii="Bookman Old Style" w:hAnsi="Bookman Old Style"/>
          <w:b/>
          <w:sz w:val="24"/>
          <w:szCs w:val="24"/>
        </w:rPr>
      </w:pP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Types of Microbial Biosensors</w:t>
      </w:r>
    </w:p>
    <w:p w:rsidR="007D709B" w:rsidRDefault="007D709B" w:rsidP="007D709B">
      <w:pPr>
        <w:pStyle w:val="NoSpacing"/>
        <w:spacing w:line="276" w:lineRule="auto"/>
        <w:jc w:val="both"/>
        <w:rPr>
          <w:rFonts w:ascii="Bookman Old Style" w:hAnsi="Bookman Old Style"/>
          <w:sz w:val="24"/>
          <w:szCs w:val="24"/>
        </w:rPr>
      </w:pP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Microbial biosensors can be classified according to the type of biological element and transducer used.</w:t>
      </w: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A. Whole-cell microbial biosensors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Living microbial cells are directly used as the sensing element.</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 xml:space="preserve">Examples: </w:t>
      </w:r>
      <w:r w:rsidRPr="007D709B">
        <w:rPr>
          <w:rFonts w:ascii="Bookman Old Style" w:hAnsi="Bookman Old Style"/>
          <w:i/>
          <w:iCs/>
          <w:sz w:val="24"/>
          <w:szCs w:val="24"/>
        </w:rPr>
        <w:t>Escherichia coli</w:t>
      </w:r>
      <w:r w:rsidRPr="007D709B">
        <w:rPr>
          <w:rFonts w:ascii="Bookman Old Style" w:hAnsi="Bookman Old Style"/>
          <w:sz w:val="24"/>
          <w:szCs w:val="24"/>
        </w:rPr>
        <w:t xml:space="preserve">, </w:t>
      </w:r>
      <w:r w:rsidRPr="007D709B">
        <w:rPr>
          <w:rFonts w:ascii="Bookman Old Style" w:hAnsi="Bookman Old Style"/>
          <w:i/>
          <w:iCs/>
          <w:sz w:val="24"/>
          <w:szCs w:val="24"/>
        </w:rPr>
        <w:t>Pseudomonas</w:t>
      </w:r>
      <w:r w:rsidRPr="007D709B">
        <w:rPr>
          <w:rFonts w:ascii="Bookman Old Style" w:hAnsi="Bookman Old Style"/>
          <w:sz w:val="24"/>
          <w:szCs w:val="24"/>
        </w:rPr>
        <w:t>, yeast and other suitable microorganisms.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They are useful for detecting substances that affect microbial metabolism or respiration.</w:t>
      </w: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B. Enzyme-based microbial biosensors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Specific microbial enzymes are immobilized on a sensor surface. The target compound causes a change in enzyme activity or generates a measurable reaction product.</w:t>
      </w: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C. Genetically engineered microbial biosensors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Microorganisms are genetically modified so that exposure to a particular pollutant produces a measurable response, such as bioluminescence or fluorescence.</w:t>
      </w:r>
    </w:p>
    <w:p w:rsidR="007D709B" w:rsidRDefault="007D709B" w:rsidP="007D709B">
      <w:pPr>
        <w:pStyle w:val="NoSpacing"/>
        <w:spacing w:line="276" w:lineRule="auto"/>
        <w:jc w:val="both"/>
        <w:rPr>
          <w:rFonts w:ascii="Bookman Old Style" w:hAnsi="Bookman Old Style"/>
          <w:sz w:val="24"/>
          <w:szCs w:val="24"/>
        </w:rPr>
      </w:pPr>
    </w:p>
    <w:p w:rsidR="007D709B" w:rsidRPr="005C0B09" w:rsidRDefault="007D709B" w:rsidP="005C0B09">
      <w:pPr>
        <w:pStyle w:val="NoSpacing"/>
        <w:spacing w:line="276" w:lineRule="auto"/>
        <w:jc w:val="center"/>
        <w:rPr>
          <w:rFonts w:ascii="Bookman Old Style" w:hAnsi="Bookman Old Style"/>
          <w:b/>
          <w:sz w:val="24"/>
          <w:szCs w:val="24"/>
        </w:rPr>
      </w:pPr>
      <w:r w:rsidRPr="005C0B09">
        <w:rPr>
          <w:rFonts w:ascii="Bookman Old Style" w:hAnsi="Bookman Old Style"/>
          <w:b/>
          <w:sz w:val="24"/>
          <w:szCs w:val="24"/>
        </w:rPr>
        <w:t>Classification according to transducer</w:t>
      </w:r>
    </w:p>
    <w:p w:rsidR="007D709B" w:rsidRPr="007D709B" w:rsidRDefault="007D709B" w:rsidP="007D709B">
      <w:pPr>
        <w:pStyle w:val="NoSpacing"/>
        <w:spacing w:line="276" w:lineRule="auto"/>
        <w:jc w:val="both"/>
        <w:rPr>
          <w:rFonts w:ascii="Bookman Old Style" w:hAnsi="Bookman Old Style"/>
          <w:b/>
          <w:sz w:val="24"/>
          <w:szCs w:val="24"/>
        </w:rPr>
      </w:pPr>
    </w:p>
    <w:tbl>
      <w:tblPr>
        <w:tblStyle w:val="TableGrid"/>
        <w:tblW w:w="0" w:type="auto"/>
        <w:tblLook w:val="04A0"/>
      </w:tblPr>
      <w:tblGrid>
        <w:gridCol w:w="2084"/>
        <w:gridCol w:w="3994"/>
        <w:gridCol w:w="3498"/>
      </w:tblGrid>
      <w:tr w:rsidR="007D709B" w:rsidRPr="007D709B" w:rsidTr="007D709B">
        <w:tc>
          <w:tcPr>
            <w:tcW w:w="0" w:type="auto"/>
            <w:hideMark/>
          </w:tcPr>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Type</w:t>
            </w:r>
          </w:p>
        </w:tc>
        <w:tc>
          <w:tcPr>
            <w:tcW w:w="0" w:type="auto"/>
            <w:hideMark/>
          </w:tcPr>
          <w:p w:rsidR="007D709B" w:rsidRPr="007D709B" w:rsidRDefault="007D709B" w:rsidP="007D709B">
            <w:pPr>
              <w:pStyle w:val="NoSpacing"/>
              <w:spacing w:line="276" w:lineRule="auto"/>
              <w:jc w:val="center"/>
              <w:rPr>
                <w:rFonts w:ascii="Bookman Old Style" w:hAnsi="Bookman Old Style"/>
                <w:b/>
                <w:sz w:val="24"/>
                <w:szCs w:val="24"/>
              </w:rPr>
            </w:pPr>
            <w:r w:rsidRPr="007D709B">
              <w:rPr>
                <w:rFonts w:ascii="Bookman Old Style" w:hAnsi="Bookman Old Style"/>
                <w:b/>
                <w:sz w:val="24"/>
                <w:szCs w:val="24"/>
              </w:rPr>
              <w:t>Signal measured</w:t>
            </w:r>
          </w:p>
        </w:tc>
        <w:tc>
          <w:tcPr>
            <w:tcW w:w="0" w:type="auto"/>
            <w:hideMark/>
          </w:tcPr>
          <w:p w:rsidR="007D709B" w:rsidRPr="007D709B" w:rsidRDefault="007D709B" w:rsidP="007D709B">
            <w:pPr>
              <w:pStyle w:val="NoSpacing"/>
              <w:spacing w:line="276" w:lineRule="auto"/>
              <w:jc w:val="center"/>
              <w:rPr>
                <w:rFonts w:ascii="Bookman Old Style" w:hAnsi="Bookman Old Style"/>
                <w:b/>
                <w:sz w:val="24"/>
                <w:szCs w:val="24"/>
              </w:rPr>
            </w:pPr>
            <w:r w:rsidRPr="007D709B">
              <w:rPr>
                <w:rFonts w:ascii="Bookman Old Style" w:hAnsi="Bookman Old Style"/>
                <w:b/>
                <w:sz w:val="24"/>
                <w:szCs w:val="24"/>
              </w:rPr>
              <w:t>Typical use</w:t>
            </w:r>
          </w:p>
        </w:tc>
      </w:tr>
      <w:tr w:rsidR="007D709B" w:rsidRPr="007D709B" w:rsidTr="007D709B">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Electrochemical</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Current, voltage, conductivity</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Organic pollutants, toxic chemicals</w:t>
            </w:r>
          </w:p>
        </w:tc>
      </w:tr>
      <w:tr w:rsidR="007D709B" w:rsidRPr="007D709B" w:rsidTr="007D709B">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Optical</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 xml:space="preserve">Fluorescence, </w:t>
            </w:r>
            <w:proofErr w:type="spellStart"/>
            <w:r w:rsidRPr="007D709B">
              <w:rPr>
                <w:rFonts w:ascii="Bookman Old Style" w:hAnsi="Bookman Old Style"/>
                <w:sz w:val="24"/>
                <w:szCs w:val="24"/>
              </w:rPr>
              <w:t>colour</w:t>
            </w:r>
            <w:proofErr w:type="spellEnd"/>
            <w:r w:rsidRPr="007D709B">
              <w:rPr>
                <w:rFonts w:ascii="Bookman Old Style" w:hAnsi="Bookman Old Style"/>
                <w:sz w:val="24"/>
                <w:szCs w:val="24"/>
              </w:rPr>
              <w:t>, bioluminescence</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Toxic compounds, metals</w:t>
            </w:r>
          </w:p>
        </w:tc>
      </w:tr>
      <w:tr w:rsidR="007D709B" w:rsidRPr="007D709B" w:rsidTr="007D709B">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proofErr w:type="spellStart"/>
            <w:r w:rsidRPr="007D709B">
              <w:rPr>
                <w:rFonts w:ascii="Bookman Old Style" w:hAnsi="Bookman Old Style"/>
                <w:sz w:val="24"/>
                <w:szCs w:val="24"/>
              </w:rPr>
              <w:t>Respirometric</w:t>
            </w:r>
            <w:proofErr w:type="spellEnd"/>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O</w:t>
            </w:r>
            <w:r w:rsidRPr="007D709B">
              <w:rPr>
                <w:sz w:val="24"/>
                <w:szCs w:val="24"/>
              </w:rPr>
              <w:t>₂</w:t>
            </w:r>
            <w:r w:rsidRPr="007D709B">
              <w:rPr>
                <w:rFonts w:ascii="Bookman Old Style" w:hAnsi="Bookman Old Style"/>
                <w:sz w:val="24"/>
                <w:szCs w:val="24"/>
              </w:rPr>
              <w:t xml:space="preserve"> consumption/CO</w:t>
            </w:r>
            <w:r w:rsidRPr="007D709B">
              <w:rPr>
                <w:sz w:val="24"/>
                <w:szCs w:val="24"/>
              </w:rPr>
              <w:t>₂</w:t>
            </w:r>
            <w:r w:rsidRPr="007D709B">
              <w:rPr>
                <w:rFonts w:ascii="Bookman Old Style" w:hAnsi="Bookman Old Style"/>
                <w:sz w:val="24"/>
                <w:szCs w:val="24"/>
              </w:rPr>
              <w:t xml:space="preserve"> production</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Biodegradable organic matter</w:t>
            </w:r>
          </w:p>
        </w:tc>
      </w:tr>
      <w:tr w:rsidR="007D709B" w:rsidRPr="007D709B" w:rsidTr="007D709B">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Thermal</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Heat generated/absorbed</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Metabolic reactions</w:t>
            </w:r>
          </w:p>
        </w:tc>
      </w:tr>
    </w:tbl>
    <w:p w:rsidR="007D709B" w:rsidRPr="007D709B" w:rsidRDefault="007D709B" w:rsidP="007D709B">
      <w:pPr>
        <w:pStyle w:val="NoSpacing"/>
        <w:spacing w:line="276" w:lineRule="auto"/>
        <w:jc w:val="both"/>
        <w:rPr>
          <w:rFonts w:ascii="Bookman Old Style" w:hAnsi="Bookman Old Style"/>
          <w:sz w:val="24"/>
          <w:szCs w:val="24"/>
        </w:rPr>
      </w:pPr>
    </w:p>
    <w:p w:rsidR="007D709B" w:rsidRPr="007D709B" w:rsidRDefault="007D709B" w:rsidP="007D709B">
      <w:pPr>
        <w:pStyle w:val="NoSpacing"/>
        <w:spacing w:line="276" w:lineRule="auto"/>
        <w:jc w:val="both"/>
        <w:rPr>
          <w:rFonts w:ascii="Bookman Old Style" w:hAnsi="Bookman Old Style"/>
          <w:b/>
          <w:sz w:val="24"/>
          <w:szCs w:val="24"/>
        </w:rPr>
      </w:pPr>
      <w:r w:rsidRPr="007D709B">
        <w:rPr>
          <w:rFonts w:ascii="Bookman Old Style" w:hAnsi="Bookman Old Style"/>
          <w:b/>
          <w:sz w:val="24"/>
          <w:szCs w:val="24"/>
        </w:rPr>
        <w:t>3. Detection of Environmental Pollutants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Microbial biosensors can be designed to detect several groups of pollutants.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Heavy metals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Metals such as mercury, cadmium, lead, arsenic and chromium can interfere with microbial metabolism. Sensitive microorganisms can therefore be used to indicate their presence.</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Heavy metal</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lastRenderedPageBreak/>
        <w:t>Microbial cell</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Interaction with cellular components</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Change in metabolic/gene response</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Measurable signal</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w:t>
      </w:r>
    </w:p>
    <w:p w:rsidR="007D709B" w:rsidRPr="007D709B" w:rsidRDefault="007D709B" w:rsidP="005C0B09">
      <w:pPr>
        <w:pStyle w:val="NoSpacing"/>
        <w:spacing w:line="276" w:lineRule="auto"/>
        <w:jc w:val="center"/>
        <w:rPr>
          <w:rFonts w:ascii="Bookman Old Style" w:hAnsi="Bookman Old Style" w:cs="Courier New"/>
          <w:sz w:val="24"/>
          <w:szCs w:val="24"/>
        </w:rPr>
      </w:pPr>
      <w:r w:rsidRPr="007D709B">
        <w:rPr>
          <w:rFonts w:ascii="Bookman Old Style" w:hAnsi="Bookman Old Style" w:cs="Courier New"/>
          <w:sz w:val="24"/>
          <w:szCs w:val="24"/>
        </w:rPr>
        <w:t>Metal detected</w:t>
      </w:r>
    </w:p>
    <w:p w:rsidR="005C0B09" w:rsidRDefault="005C0B09" w:rsidP="007D709B">
      <w:pPr>
        <w:pStyle w:val="NoSpacing"/>
        <w:spacing w:line="276" w:lineRule="auto"/>
        <w:jc w:val="both"/>
        <w:rPr>
          <w:rFonts w:ascii="Bookman Old Style" w:hAnsi="Bookman Old Style"/>
          <w:sz w:val="24"/>
          <w:szCs w:val="24"/>
        </w:rPr>
      </w:pP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Organic pollutants</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Microbial biosensors can be used for detecting or assessing:</w:t>
      </w:r>
    </w:p>
    <w:p w:rsidR="007D709B" w:rsidRPr="007D709B" w:rsidRDefault="007D709B" w:rsidP="005C0B09">
      <w:pPr>
        <w:pStyle w:val="NoSpacing"/>
        <w:numPr>
          <w:ilvl w:val="0"/>
          <w:numId w:val="6"/>
        </w:numPr>
        <w:spacing w:line="276" w:lineRule="auto"/>
        <w:jc w:val="both"/>
        <w:rPr>
          <w:rFonts w:ascii="Bookman Old Style" w:hAnsi="Bookman Old Style"/>
          <w:sz w:val="24"/>
          <w:szCs w:val="24"/>
        </w:rPr>
      </w:pPr>
      <w:r w:rsidRPr="007D709B">
        <w:rPr>
          <w:rFonts w:ascii="Bookman Old Style" w:hAnsi="Bookman Old Style"/>
          <w:sz w:val="24"/>
          <w:szCs w:val="24"/>
        </w:rPr>
        <w:t xml:space="preserve">Phenols </w:t>
      </w:r>
    </w:p>
    <w:p w:rsidR="007D709B" w:rsidRPr="007D709B" w:rsidRDefault="007D709B" w:rsidP="005C0B09">
      <w:pPr>
        <w:pStyle w:val="NoSpacing"/>
        <w:numPr>
          <w:ilvl w:val="0"/>
          <w:numId w:val="6"/>
        </w:numPr>
        <w:spacing w:line="276" w:lineRule="auto"/>
        <w:jc w:val="both"/>
        <w:rPr>
          <w:rFonts w:ascii="Bookman Old Style" w:hAnsi="Bookman Old Style"/>
          <w:sz w:val="24"/>
          <w:szCs w:val="24"/>
        </w:rPr>
      </w:pPr>
      <w:r w:rsidRPr="007D709B">
        <w:rPr>
          <w:rFonts w:ascii="Bookman Old Style" w:hAnsi="Bookman Old Style"/>
          <w:sz w:val="24"/>
          <w:szCs w:val="24"/>
        </w:rPr>
        <w:t xml:space="preserve">Hydrocarbons </w:t>
      </w:r>
    </w:p>
    <w:p w:rsidR="007D709B" w:rsidRPr="007D709B" w:rsidRDefault="007D709B" w:rsidP="005C0B09">
      <w:pPr>
        <w:pStyle w:val="NoSpacing"/>
        <w:numPr>
          <w:ilvl w:val="0"/>
          <w:numId w:val="6"/>
        </w:numPr>
        <w:spacing w:line="276" w:lineRule="auto"/>
        <w:jc w:val="both"/>
        <w:rPr>
          <w:rFonts w:ascii="Bookman Old Style" w:hAnsi="Bookman Old Style"/>
          <w:sz w:val="24"/>
          <w:szCs w:val="24"/>
        </w:rPr>
      </w:pPr>
      <w:r w:rsidRPr="007D709B">
        <w:rPr>
          <w:rFonts w:ascii="Bookman Old Style" w:hAnsi="Bookman Old Style"/>
          <w:sz w:val="24"/>
          <w:szCs w:val="24"/>
        </w:rPr>
        <w:t xml:space="preserve">Pesticides </w:t>
      </w:r>
    </w:p>
    <w:p w:rsidR="007D709B" w:rsidRPr="007D709B" w:rsidRDefault="007D709B" w:rsidP="005C0B09">
      <w:pPr>
        <w:pStyle w:val="NoSpacing"/>
        <w:numPr>
          <w:ilvl w:val="0"/>
          <w:numId w:val="6"/>
        </w:numPr>
        <w:spacing w:line="276" w:lineRule="auto"/>
        <w:jc w:val="both"/>
        <w:rPr>
          <w:rFonts w:ascii="Bookman Old Style" w:hAnsi="Bookman Old Style"/>
          <w:sz w:val="24"/>
          <w:szCs w:val="24"/>
        </w:rPr>
      </w:pPr>
      <w:r w:rsidRPr="007D709B">
        <w:rPr>
          <w:rFonts w:ascii="Bookman Old Style" w:hAnsi="Bookman Old Style"/>
          <w:sz w:val="24"/>
          <w:szCs w:val="24"/>
        </w:rPr>
        <w:t xml:space="preserve">Aromatic compounds </w:t>
      </w:r>
    </w:p>
    <w:p w:rsidR="007D709B" w:rsidRPr="007D709B" w:rsidRDefault="007D709B" w:rsidP="005C0B09">
      <w:pPr>
        <w:pStyle w:val="NoSpacing"/>
        <w:numPr>
          <w:ilvl w:val="0"/>
          <w:numId w:val="6"/>
        </w:numPr>
        <w:spacing w:line="276" w:lineRule="auto"/>
        <w:jc w:val="both"/>
        <w:rPr>
          <w:rFonts w:ascii="Bookman Old Style" w:hAnsi="Bookman Old Style"/>
          <w:sz w:val="24"/>
          <w:szCs w:val="24"/>
        </w:rPr>
      </w:pPr>
      <w:r w:rsidRPr="007D709B">
        <w:rPr>
          <w:rFonts w:ascii="Bookman Old Style" w:hAnsi="Bookman Old Style"/>
          <w:sz w:val="24"/>
          <w:szCs w:val="24"/>
        </w:rPr>
        <w:t xml:space="preserve">Industrial organic chemicals </w:t>
      </w:r>
    </w:p>
    <w:p w:rsidR="005C0B09" w:rsidRDefault="005C0B09" w:rsidP="007D709B">
      <w:pPr>
        <w:pStyle w:val="NoSpacing"/>
        <w:spacing w:line="276" w:lineRule="auto"/>
        <w:jc w:val="both"/>
        <w:rPr>
          <w:rFonts w:ascii="Bookman Old Style" w:hAnsi="Bookman Old Style"/>
          <w:sz w:val="24"/>
          <w:szCs w:val="24"/>
        </w:rPr>
      </w:pP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Biological oxygen demand (BOD)</w:t>
      </w:r>
    </w:p>
    <w:p w:rsidR="007D709B" w:rsidRPr="007D709B" w:rsidRDefault="007D709B" w:rsidP="007D709B">
      <w:pPr>
        <w:pStyle w:val="NoSpacing"/>
        <w:spacing w:line="276" w:lineRule="auto"/>
        <w:jc w:val="both"/>
        <w:rPr>
          <w:rFonts w:ascii="Bookman Old Style" w:hAnsi="Bookman Old Style"/>
          <w:sz w:val="24"/>
          <w:szCs w:val="24"/>
        </w:rPr>
      </w:pPr>
      <w:proofErr w:type="spellStart"/>
      <w:r w:rsidRPr="007D709B">
        <w:rPr>
          <w:rFonts w:ascii="Bookman Old Style" w:hAnsi="Bookman Old Style"/>
          <w:sz w:val="24"/>
          <w:szCs w:val="24"/>
        </w:rPr>
        <w:t>Respirometric</w:t>
      </w:r>
      <w:proofErr w:type="spellEnd"/>
      <w:r w:rsidRPr="007D709B">
        <w:rPr>
          <w:rFonts w:ascii="Bookman Old Style" w:hAnsi="Bookman Old Style"/>
          <w:sz w:val="24"/>
          <w:szCs w:val="24"/>
        </w:rPr>
        <w:t xml:space="preserve"> microbial biosensors can estimate biodegradable organic pollution by measuring microbial oxygen consumption.</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A higher concentration of biodegradable organic matter generally produces greater microbial respiration and oxygen consumption.</w:t>
      </w:r>
    </w:p>
    <w:p w:rsidR="007D709B" w:rsidRDefault="007D709B" w:rsidP="007D709B">
      <w:pPr>
        <w:pStyle w:val="NoSpacing"/>
        <w:spacing w:line="276" w:lineRule="auto"/>
        <w:jc w:val="both"/>
        <w:rPr>
          <w:rFonts w:ascii="Bookman Old Style" w:hAnsi="Bookman Old Style"/>
          <w:sz w:val="24"/>
          <w:szCs w:val="24"/>
        </w:rPr>
      </w:pPr>
    </w:p>
    <w:p w:rsidR="005C0B09" w:rsidRPr="007D709B" w:rsidRDefault="005C0B09" w:rsidP="007D709B">
      <w:pPr>
        <w:pStyle w:val="NoSpacing"/>
        <w:spacing w:line="276" w:lineRule="auto"/>
        <w:jc w:val="both"/>
        <w:rPr>
          <w:rFonts w:ascii="Bookman Old Style" w:hAnsi="Bookman Old Style"/>
          <w:sz w:val="24"/>
          <w:szCs w:val="24"/>
        </w:rPr>
      </w:pP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Applications in Environmental Monitoring</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Microbial biosensors have several important applications:</w:t>
      </w: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Water quality monitoring</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They can be used to detect toxic chemicals, organic pollutants and heavy metals in surface water and wastewater.</w:t>
      </w: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Industrial wastewater</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Biosensors can provide rapid screening for toxic substances before wastewater is discharged.</w:t>
      </w: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Soil pollution</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They can help assess the biological toxicity or bioavailability of contaminants in contaminated soils.</w:t>
      </w: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Pesticide monitoring</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Specific microbial responses can be used for detecting pesticide residues and their biological effects.</w:t>
      </w: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Oil and hydrocarbon pollution</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lastRenderedPageBreak/>
        <w:t>Microorganisms capable of responding to hydrocarbons can be incorporated into biosensors for monitoring petroleum contamination.</w:t>
      </w:r>
    </w:p>
    <w:p w:rsidR="007D709B" w:rsidRPr="007D709B" w:rsidRDefault="007D709B" w:rsidP="007D709B">
      <w:pPr>
        <w:pStyle w:val="NoSpacing"/>
        <w:spacing w:line="276" w:lineRule="auto"/>
        <w:jc w:val="both"/>
        <w:rPr>
          <w:rFonts w:ascii="Bookman Old Style" w:hAnsi="Bookman Old Style"/>
          <w:sz w:val="24"/>
          <w:szCs w:val="24"/>
        </w:rPr>
      </w:pP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Advantages and Limitations</w:t>
      </w: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Advantages</w:t>
      </w:r>
    </w:p>
    <w:p w:rsidR="007D709B" w:rsidRPr="007D709B" w:rsidRDefault="007D709B" w:rsidP="005C0B09">
      <w:pPr>
        <w:pStyle w:val="NoSpacing"/>
        <w:numPr>
          <w:ilvl w:val="0"/>
          <w:numId w:val="7"/>
        </w:numPr>
        <w:spacing w:line="276" w:lineRule="auto"/>
        <w:jc w:val="both"/>
        <w:rPr>
          <w:rFonts w:ascii="Bookman Old Style" w:hAnsi="Bookman Old Style"/>
          <w:sz w:val="24"/>
          <w:szCs w:val="24"/>
        </w:rPr>
      </w:pPr>
      <w:r w:rsidRPr="007D709B">
        <w:rPr>
          <w:rFonts w:ascii="Bookman Old Style" w:hAnsi="Bookman Old Style"/>
          <w:sz w:val="24"/>
          <w:szCs w:val="24"/>
        </w:rPr>
        <w:t xml:space="preserve">Rapid detection </w:t>
      </w:r>
    </w:p>
    <w:p w:rsidR="007D709B" w:rsidRPr="007D709B" w:rsidRDefault="007D709B" w:rsidP="005C0B09">
      <w:pPr>
        <w:pStyle w:val="NoSpacing"/>
        <w:numPr>
          <w:ilvl w:val="0"/>
          <w:numId w:val="7"/>
        </w:numPr>
        <w:spacing w:line="276" w:lineRule="auto"/>
        <w:jc w:val="both"/>
        <w:rPr>
          <w:rFonts w:ascii="Bookman Old Style" w:hAnsi="Bookman Old Style"/>
          <w:sz w:val="24"/>
          <w:szCs w:val="24"/>
        </w:rPr>
      </w:pPr>
      <w:r w:rsidRPr="007D709B">
        <w:rPr>
          <w:rFonts w:ascii="Bookman Old Style" w:hAnsi="Bookman Old Style"/>
          <w:sz w:val="24"/>
          <w:szCs w:val="24"/>
        </w:rPr>
        <w:t xml:space="preserve">Relatively simple operation </w:t>
      </w:r>
    </w:p>
    <w:p w:rsidR="007D709B" w:rsidRPr="007D709B" w:rsidRDefault="007D709B" w:rsidP="005C0B09">
      <w:pPr>
        <w:pStyle w:val="NoSpacing"/>
        <w:numPr>
          <w:ilvl w:val="0"/>
          <w:numId w:val="7"/>
        </w:numPr>
        <w:spacing w:line="276" w:lineRule="auto"/>
        <w:jc w:val="both"/>
        <w:rPr>
          <w:rFonts w:ascii="Bookman Old Style" w:hAnsi="Bookman Old Style"/>
          <w:sz w:val="24"/>
          <w:szCs w:val="24"/>
        </w:rPr>
      </w:pPr>
      <w:r w:rsidRPr="007D709B">
        <w:rPr>
          <w:rFonts w:ascii="Bookman Old Style" w:hAnsi="Bookman Old Style"/>
          <w:sz w:val="24"/>
          <w:szCs w:val="24"/>
        </w:rPr>
        <w:t xml:space="preserve">High biological specificity </w:t>
      </w:r>
    </w:p>
    <w:p w:rsidR="007D709B" w:rsidRPr="007D709B" w:rsidRDefault="007D709B" w:rsidP="005C0B09">
      <w:pPr>
        <w:pStyle w:val="NoSpacing"/>
        <w:numPr>
          <w:ilvl w:val="0"/>
          <w:numId w:val="7"/>
        </w:numPr>
        <w:spacing w:line="276" w:lineRule="auto"/>
        <w:jc w:val="both"/>
        <w:rPr>
          <w:rFonts w:ascii="Bookman Old Style" w:hAnsi="Bookman Old Style"/>
          <w:sz w:val="24"/>
          <w:szCs w:val="24"/>
        </w:rPr>
      </w:pPr>
      <w:r w:rsidRPr="007D709B">
        <w:rPr>
          <w:rFonts w:ascii="Bookman Old Style" w:hAnsi="Bookman Old Style"/>
          <w:sz w:val="24"/>
          <w:szCs w:val="24"/>
        </w:rPr>
        <w:t xml:space="preserve">Can detect biological effects, not merely chemical concentration </w:t>
      </w:r>
    </w:p>
    <w:p w:rsidR="007D709B" w:rsidRPr="007D709B" w:rsidRDefault="007D709B" w:rsidP="005C0B09">
      <w:pPr>
        <w:pStyle w:val="NoSpacing"/>
        <w:numPr>
          <w:ilvl w:val="0"/>
          <w:numId w:val="7"/>
        </w:numPr>
        <w:spacing w:line="276" w:lineRule="auto"/>
        <w:jc w:val="both"/>
        <w:rPr>
          <w:rFonts w:ascii="Bookman Old Style" w:hAnsi="Bookman Old Style"/>
          <w:sz w:val="24"/>
          <w:szCs w:val="24"/>
        </w:rPr>
      </w:pPr>
      <w:r w:rsidRPr="007D709B">
        <w:rPr>
          <w:rFonts w:ascii="Bookman Old Style" w:hAnsi="Bookman Old Style"/>
          <w:sz w:val="24"/>
          <w:szCs w:val="24"/>
        </w:rPr>
        <w:t xml:space="preserve">Potential for continuous or on-site monitoring </w:t>
      </w:r>
    </w:p>
    <w:p w:rsidR="007D709B" w:rsidRPr="007D709B" w:rsidRDefault="007D709B" w:rsidP="005C0B09">
      <w:pPr>
        <w:pStyle w:val="NoSpacing"/>
        <w:numPr>
          <w:ilvl w:val="0"/>
          <w:numId w:val="7"/>
        </w:numPr>
        <w:spacing w:line="276" w:lineRule="auto"/>
        <w:jc w:val="both"/>
        <w:rPr>
          <w:rFonts w:ascii="Bookman Old Style" w:hAnsi="Bookman Old Style"/>
          <w:sz w:val="24"/>
          <w:szCs w:val="24"/>
        </w:rPr>
      </w:pPr>
      <w:r w:rsidRPr="007D709B">
        <w:rPr>
          <w:rFonts w:ascii="Bookman Old Style" w:hAnsi="Bookman Old Style"/>
          <w:sz w:val="24"/>
          <w:szCs w:val="24"/>
        </w:rPr>
        <w:t xml:space="preserve">May be less expensive than some conventional analytical methods </w:t>
      </w: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Limitations</w:t>
      </w:r>
    </w:p>
    <w:p w:rsidR="007D709B" w:rsidRPr="007D709B" w:rsidRDefault="007D709B" w:rsidP="005C0B09">
      <w:pPr>
        <w:pStyle w:val="NoSpacing"/>
        <w:numPr>
          <w:ilvl w:val="0"/>
          <w:numId w:val="8"/>
        </w:numPr>
        <w:spacing w:line="276" w:lineRule="auto"/>
        <w:jc w:val="both"/>
        <w:rPr>
          <w:rFonts w:ascii="Bookman Old Style" w:hAnsi="Bookman Old Style"/>
          <w:sz w:val="24"/>
          <w:szCs w:val="24"/>
        </w:rPr>
      </w:pPr>
      <w:r w:rsidRPr="007D709B">
        <w:rPr>
          <w:rFonts w:ascii="Bookman Old Style" w:hAnsi="Bookman Old Style"/>
          <w:sz w:val="24"/>
          <w:szCs w:val="24"/>
        </w:rPr>
        <w:t xml:space="preserve">Microorganisms can be sensitive to temperature and </w:t>
      </w:r>
      <w:proofErr w:type="spellStart"/>
      <w:r w:rsidRPr="007D709B">
        <w:rPr>
          <w:rFonts w:ascii="Bookman Old Style" w:hAnsi="Bookman Old Style"/>
          <w:sz w:val="24"/>
          <w:szCs w:val="24"/>
        </w:rPr>
        <w:t>pH.</w:t>
      </w:r>
      <w:proofErr w:type="spellEnd"/>
      <w:r w:rsidRPr="007D709B">
        <w:rPr>
          <w:rFonts w:ascii="Bookman Old Style" w:hAnsi="Bookman Old Style"/>
          <w:sz w:val="24"/>
          <w:szCs w:val="24"/>
        </w:rPr>
        <w:t xml:space="preserve"> </w:t>
      </w:r>
    </w:p>
    <w:p w:rsidR="007D709B" w:rsidRPr="007D709B" w:rsidRDefault="007D709B" w:rsidP="005C0B09">
      <w:pPr>
        <w:pStyle w:val="NoSpacing"/>
        <w:numPr>
          <w:ilvl w:val="0"/>
          <w:numId w:val="8"/>
        </w:numPr>
        <w:spacing w:line="276" w:lineRule="auto"/>
        <w:jc w:val="both"/>
        <w:rPr>
          <w:rFonts w:ascii="Bookman Old Style" w:hAnsi="Bookman Old Style"/>
          <w:sz w:val="24"/>
          <w:szCs w:val="24"/>
        </w:rPr>
      </w:pPr>
      <w:r w:rsidRPr="007D709B">
        <w:rPr>
          <w:rFonts w:ascii="Bookman Old Style" w:hAnsi="Bookman Old Style"/>
          <w:sz w:val="24"/>
          <w:szCs w:val="24"/>
        </w:rPr>
        <w:t xml:space="preserve">Other substances in environmental samples may interfere with the response. </w:t>
      </w:r>
    </w:p>
    <w:p w:rsidR="007D709B" w:rsidRPr="007D709B" w:rsidRDefault="007D709B" w:rsidP="005C0B09">
      <w:pPr>
        <w:pStyle w:val="NoSpacing"/>
        <w:numPr>
          <w:ilvl w:val="0"/>
          <w:numId w:val="8"/>
        </w:numPr>
        <w:spacing w:line="276" w:lineRule="auto"/>
        <w:jc w:val="both"/>
        <w:rPr>
          <w:rFonts w:ascii="Bookman Old Style" w:hAnsi="Bookman Old Style"/>
          <w:sz w:val="24"/>
          <w:szCs w:val="24"/>
        </w:rPr>
      </w:pPr>
      <w:r w:rsidRPr="007D709B">
        <w:rPr>
          <w:rFonts w:ascii="Bookman Old Style" w:hAnsi="Bookman Old Style"/>
          <w:sz w:val="24"/>
          <w:szCs w:val="24"/>
        </w:rPr>
        <w:t xml:space="preserve">Biosensor stability can decrease over time. </w:t>
      </w:r>
    </w:p>
    <w:p w:rsidR="007D709B" w:rsidRPr="007D709B" w:rsidRDefault="007D709B" w:rsidP="005C0B09">
      <w:pPr>
        <w:pStyle w:val="NoSpacing"/>
        <w:numPr>
          <w:ilvl w:val="0"/>
          <w:numId w:val="8"/>
        </w:numPr>
        <w:spacing w:line="276" w:lineRule="auto"/>
        <w:jc w:val="both"/>
        <w:rPr>
          <w:rFonts w:ascii="Bookman Old Style" w:hAnsi="Bookman Old Style"/>
          <w:sz w:val="24"/>
          <w:szCs w:val="24"/>
        </w:rPr>
      </w:pPr>
      <w:r w:rsidRPr="007D709B">
        <w:rPr>
          <w:rFonts w:ascii="Bookman Old Style" w:hAnsi="Bookman Old Style"/>
          <w:sz w:val="24"/>
          <w:szCs w:val="24"/>
        </w:rPr>
        <w:t xml:space="preserve">Quantification may require calibration against standard analytical methods. </w:t>
      </w:r>
    </w:p>
    <w:p w:rsidR="007D709B" w:rsidRPr="007D709B" w:rsidRDefault="007D709B" w:rsidP="005C0B09">
      <w:pPr>
        <w:pStyle w:val="NoSpacing"/>
        <w:numPr>
          <w:ilvl w:val="0"/>
          <w:numId w:val="8"/>
        </w:numPr>
        <w:spacing w:line="276" w:lineRule="auto"/>
        <w:jc w:val="both"/>
        <w:rPr>
          <w:rFonts w:ascii="Bookman Old Style" w:hAnsi="Bookman Old Style"/>
          <w:sz w:val="24"/>
          <w:szCs w:val="24"/>
        </w:rPr>
      </w:pPr>
      <w:r w:rsidRPr="007D709B">
        <w:rPr>
          <w:rFonts w:ascii="Bookman Old Style" w:hAnsi="Bookman Old Style"/>
          <w:sz w:val="24"/>
          <w:szCs w:val="24"/>
        </w:rPr>
        <w:t xml:space="preserve">A biological response does not always identify the exact chemical responsible. </w:t>
      </w:r>
    </w:p>
    <w:p w:rsidR="007D709B" w:rsidRPr="007D709B" w:rsidRDefault="007D709B" w:rsidP="007D709B">
      <w:pPr>
        <w:pStyle w:val="NoSpacing"/>
        <w:spacing w:line="276" w:lineRule="auto"/>
        <w:jc w:val="both"/>
        <w:rPr>
          <w:rFonts w:ascii="Bookman Old Style" w:hAnsi="Bookman Old Style"/>
          <w:sz w:val="24"/>
          <w:szCs w:val="24"/>
        </w:rPr>
      </w:pPr>
    </w:p>
    <w:p w:rsidR="007D709B" w:rsidRPr="005C0B09" w:rsidRDefault="007D709B" w:rsidP="007D709B">
      <w:pPr>
        <w:pStyle w:val="NoSpacing"/>
        <w:spacing w:line="276" w:lineRule="auto"/>
        <w:jc w:val="both"/>
        <w:rPr>
          <w:rFonts w:ascii="Bookman Old Style" w:hAnsi="Bookman Old Style"/>
          <w:b/>
          <w:sz w:val="24"/>
          <w:szCs w:val="24"/>
        </w:rPr>
      </w:pPr>
      <w:r w:rsidRPr="005C0B09">
        <w:rPr>
          <w:rFonts w:ascii="Bookman Old Style" w:hAnsi="Bookman Old Style"/>
          <w:b/>
          <w:sz w:val="24"/>
          <w:szCs w:val="24"/>
        </w:rPr>
        <w:t xml:space="preserve">6. Microbial Biosensors </w:t>
      </w:r>
      <w:proofErr w:type="spellStart"/>
      <w:r w:rsidRPr="005C0B09">
        <w:rPr>
          <w:rFonts w:ascii="Bookman Old Style" w:hAnsi="Bookman Old Style"/>
          <w:b/>
          <w:sz w:val="24"/>
          <w:szCs w:val="24"/>
        </w:rPr>
        <w:t>vs</w:t>
      </w:r>
      <w:proofErr w:type="spellEnd"/>
      <w:r w:rsidRPr="005C0B09">
        <w:rPr>
          <w:rFonts w:ascii="Bookman Old Style" w:hAnsi="Bookman Old Style"/>
          <w:b/>
          <w:sz w:val="24"/>
          <w:szCs w:val="24"/>
        </w:rPr>
        <w:t xml:space="preserve"> Conventional Methods</w:t>
      </w:r>
    </w:p>
    <w:tbl>
      <w:tblPr>
        <w:tblStyle w:val="TableGrid"/>
        <w:tblW w:w="0" w:type="auto"/>
        <w:tblLook w:val="04A0"/>
      </w:tblPr>
      <w:tblGrid>
        <w:gridCol w:w="2010"/>
        <w:gridCol w:w="3731"/>
        <w:gridCol w:w="3835"/>
      </w:tblGrid>
      <w:tr w:rsidR="007D709B" w:rsidRPr="007D709B" w:rsidTr="005C0B09">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Feature</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Microbial biosensor</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Conventional chemical analysis</w:t>
            </w:r>
          </w:p>
        </w:tc>
      </w:tr>
      <w:tr w:rsidR="007D709B" w:rsidRPr="007D709B" w:rsidTr="005C0B09">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Detection</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Biological response</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Chemical measurement</w:t>
            </w:r>
          </w:p>
        </w:tc>
      </w:tr>
      <w:tr w:rsidR="007D709B" w:rsidRPr="007D709B" w:rsidTr="005C0B09">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Speed</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Often rapid</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May require longer laboratory procedures</w:t>
            </w:r>
          </w:p>
        </w:tc>
      </w:tr>
      <w:tr w:rsidR="007D709B" w:rsidRPr="007D709B" w:rsidTr="005C0B09">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Specificity</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Depends on organism/design</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Often highly specific</w:t>
            </w:r>
          </w:p>
        </w:tc>
      </w:tr>
      <w:tr w:rsidR="007D709B" w:rsidRPr="007D709B" w:rsidTr="005C0B09">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Equipment</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Relatively simple in some formats</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Often sophisticated</w:t>
            </w:r>
          </w:p>
        </w:tc>
      </w:tr>
      <w:tr w:rsidR="007D709B" w:rsidRPr="007D709B" w:rsidTr="005C0B09">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Information obtained</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Toxicity/bioavailability or target response</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Concentration/chemical identity</w:t>
            </w:r>
          </w:p>
        </w:tc>
      </w:tr>
      <w:tr w:rsidR="007D709B" w:rsidRPr="007D709B" w:rsidTr="005C0B09">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Field application</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Potentially high</w:t>
            </w:r>
          </w:p>
        </w:tc>
        <w:tc>
          <w:tcPr>
            <w:tcW w:w="0" w:type="auto"/>
            <w:hideMark/>
          </w:tcPr>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Often laboratory-based</w:t>
            </w:r>
          </w:p>
        </w:tc>
      </w:tr>
    </w:tbl>
    <w:p w:rsidR="005C0B09" w:rsidRDefault="005C0B09" w:rsidP="007D709B">
      <w:pPr>
        <w:pStyle w:val="NoSpacing"/>
        <w:spacing w:line="276" w:lineRule="auto"/>
        <w:jc w:val="both"/>
        <w:rPr>
          <w:rFonts w:ascii="Bookman Old Style" w:hAnsi="Bookman Old Style"/>
          <w:sz w:val="24"/>
          <w:szCs w:val="24"/>
        </w:rPr>
      </w:pP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t>Chemical analysis tells us “how much pollutant is present,” whereas a microbial biosensor can also provide information about “how the pollutant affects a biological system.”</w:t>
      </w:r>
    </w:p>
    <w:p w:rsidR="007D709B" w:rsidRPr="007D709B" w:rsidRDefault="007D709B" w:rsidP="007D709B">
      <w:pPr>
        <w:pStyle w:val="NoSpacing"/>
        <w:spacing w:line="276" w:lineRule="auto"/>
        <w:jc w:val="both"/>
        <w:rPr>
          <w:rFonts w:ascii="Bookman Old Style" w:hAnsi="Bookman Old Style"/>
          <w:sz w:val="24"/>
          <w:szCs w:val="24"/>
        </w:rPr>
      </w:pPr>
      <w:r w:rsidRPr="007D709B">
        <w:rPr>
          <w:rFonts w:ascii="Bookman Old Style" w:hAnsi="Bookman Old Style"/>
          <w:sz w:val="24"/>
          <w:szCs w:val="24"/>
        </w:rPr>
        <w:lastRenderedPageBreak/>
        <w:t>Microbial biosensors are important tools in environmental biotechnology because they combine the sensitivity of biological systems with rapid instrumental detection. They can be used for monitoring heavy metals, pesticides, hydrocarbons, organic pollutants and overall biological toxicity, making them valuable complements to conventional environmental analytical techniques.</w:t>
      </w:r>
    </w:p>
    <w:p w:rsidR="00033E4A" w:rsidRPr="007D709B" w:rsidRDefault="00033E4A" w:rsidP="007D709B">
      <w:pPr>
        <w:pStyle w:val="NoSpacing"/>
        <w:spacing w:line="276" w:lineRule="auto"/>
        <w:jc w:val="both"/>
        <w:rPr>
          <w:rFonts w:ascii="Bookman Old Style" w:hAnsi="Bookman Old Style"/>
          <w:sz w:val="24"/>
          <w:szCs w:val="24"/>
        </w:rPr>
      </w:pPr>
    </w:p>
    <w:sectPr w:rsidR="00033E4A" w:rsidRPr="007D709B" w:rsidSect="00033E4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91563"/>
    <w:multiLevelType w:val="hybridMultilevel"/>
    <w:tmpl w:val="6CB49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6472F5"/>
    <w:multiLevelType w:val="hybridMultilevel"/>
    <w:tmpl w:val="D7849F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FA4A99"/>
    <w:multiLevelType w:val="multilevel"/>
    <w:tmpl w:val="3220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5D2CE8"/>
    <w:multiLevelType w:val="hybridMultilevel"/>
    <w:tmpl w:val="D1E4D1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EB1152"/>
    <w:multiLevelType w:val="multilevel"/>
    <w:tmpl w:val="3210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0C25A5"/>
    <w:multiLevelType w:val="multilevel"/>
    <w:tmpl w:val="C0F4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4F2E20"/>
    <w:multiLevelType w:val="hybridMultilevel"/>
    <w:tmpl w:val="5F50E9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D00F5F"/>
    <w:multiLevelType w:val="multilevel"/>
    <w:tmpl w:val="AA74C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4"/>
  </w:num>
  <w:num w:numId="5">
    <w:abstractNumId w:val="0"/>
  </w:num>
  <w:num w:numId="6">
    <w:abstractNumId w:val="6"/>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D709B"/>
    <w:rsid w:val="00033E4A"/>
    <w:rsid w:val="005C0B09"/>
    <w:rsid w:val="007D70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E4A"/>
  </w:style>
  <w:style w:type="paragraph" w:styleId="Heading1">
    <w:name w:val="heading 1"/>
    <w:basedOn w:val="Normal"/>
    <w:link w:val="Heading1Char"/>
    <w:uiPriority w:val="9"/>
    <w:qFormat/>
    <w:rsid w:val="007D70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D70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D70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09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D70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D709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70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709B"/>
    <w:rPr>
      <w:b/>
      <w:bCs/>
    </w:rPr>
  </w:style>
  <w:style w:type="paragraph" w:styleId="HTMLPreformatted">
    <w:name w:val="HTML Preformatted"/>
    <w:basedOn w:val="Normal"/>
    <w:link w:val="HTMLPreformattedChar"/>
    <w:uiPriority w:val="99"/>
    <w:semiHidden/>
    <w:unhideWhenUsed/>
    <w:rsid w:val="007D70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D709B"/>
    <w:rPr>
      <w:rFonts w:ascii="Courier New" w:eastAsia="Times New Roman" w:hAnsi="Courier New" w:cs="Courier New"/>
      <w:sz w:val="20"/>
      <w:szCs w:val="20"/>
    </w:rPr>
  </w:style>
  <w:style w:type="character" w:styleId="HTMLCode">
    <w:name w:val="HTML Code"/>
    <w:basedOn w:val="DefaultParagraphFont"/>
    <w:uiPriority w:val="99"/>
    <w:semiHidden/>
    <w:unhideWhenUsed/>
    <w:rsid w:val="007D709B"/>
    <w:rPr>
      <w:rFonts w:ascii="Courier New" w:eastAsia="Times New Roman" w:hAnsi="Courier New" w:cs="Courier New"/>
      <w:sz w:val="20"/>
      <w:szCs w:val="20"/>
    </w:rPr>
  </w:style>
  <w:style w:type="character" w:styleId="Emphasis">
    <w:name w:val="Emphasis"/>
    <w:basedOn w:val="DefaultParagraphFont"/>
    <w:uiPriority w:val="20"/>
    <w:qFormat/>
    <w:rsid w:val="007D709B"/>
    <w:rPr>
      <w:i/>
      <w:iCs/>
    </w:rPr>
  </w:style>
  <w:style w:type="paragraph" w:styleId="NoSpacing">
    <w:name w:val="No Spacing"/>
    <w:uiPriority w:val="1"/>
    <w:qFormat/>
    <w:rsid w:val="007D709B"/>
    <w:pPr>
      <w:spacing w:after="0" w:line="240" w:lineRule="auto"/>
    </w:pPr>
  </w:style>
  <w:style w:type="table" w:styleId="TableGrid">
    <w:name w:val="Table Grid"/>
    <w:basedOn w:val="TableNormal"/>
    <w:uiPriority w:val="59"/>
    <w:rsid w:val="007D70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6417886">
      <w:bodyDiv w:val="1"/>
      <w:marLeft w:val="0"/>
      <w:marRight w:val="0"/>
      <w:marTop w:val="0"/>
      <w:marBottom w:val="0"/>
      <w:divBdr>
        <w:top w:val="none" w:sz="0" w:space="0" w:color="auto"/>
        <w:left w:val="none" w:sz="0" w:space="0" w:color="auto"/>
        <w:bottom w:val="none" w:sz="0" w:space="0" w:color="auto"/>
        <w:right w:val="none" w:sz="0" w:space="0" w:color="auto"/>
      </w:divBdr>
      <w:divsChild>
        <w:div w:id="918560357">
          <w:marLeft w:val="0"/>
          <w:marRight w:val="0"/>
          <w:marTop w:val="0"/>
          <w:marBottom w:val="0"/>
          <w:divBdr>
            <w:top w:val="none" w:sz="0" w:space="0" w:color="auto"/>
            <w:left w:val="none" w:sz="0" w:space="0" w:color="auto"/>
            <w:bottom w:val="none" w:sz="0" w:space="0" w:color="auto"/>
            <w:right w:val="none" w:sz="0" w:space="0" w:color="auto"/>
          </w:divBdr>
          <w:divsChild>
            <w:div w:id="1506479159">
              <w:marLeft w:val="0"/>
              <w:marRight w:val="0"/>
              <w:marTop w:val="0"/>
              <w:marBottom w:val="0"/>
              <w:divBdr>
                <w:top w:val="none" w:sz="0" w:space="0" w:color="auto"/>
                <w:left w:val="none" w:sz="0" w:space="0" w:color="auto"/>
                <w:bottom w:val="none" w:sz="0" w:space="0" w:color="auto"/>
                <w:right w:val="none" w:sz="0" w:space="0" w:color="auto"/>
              </w:divBdr>
              <w:divsChild>
                <w:div w:id="1614559542">
                  <w:marLeft w:val="0"/>
                  <w:marRight w:val="0"/>
                  <w:marTop w:val="0"/>
                  <w:marBottom w:val="0"/>
                  <w:divBdr>
                    <w:top w:val="none" w:sz="0" w:space="0" w:color="auto"/>
                    <w:left w:val="none" w:sz="0" w:space="0" w:color="auto"/>
                    <w:bottom w:val="none" w:sz="0" w:space="0" w:color="auto"/>
                    <w:right w:val="none" w:sz="0" w:space="0" w:color="auto"/>
                  </w:divBdr>
                  <w:divsChild>
                    <w:div w:id="420689029">
                      <w:marLeft w:val="0"/>
                      <w:marRight w:val="0"/>
                      <w:marTop w:val="0"/>
                      <w:marBottom w:val="0"/>
                      <w:divBdr>
                        <w:top w:val="none" w:sz="0" w:space="0" w:color="auto"/>
                        <w:left w:val="none" w:sz="0" w:space="0" w:color="auto"/>
                        <w:bottom w:val="none" w:sz="0" w:space="0" w:color="auto"/>
                        <w:right w:val="none" w:sz="0" w:space="0" w:color="auto"/>
                      </w:divBdr>
                      <w:divsChild>
                        <w:div w:id="1313563215">
                          <w:marLeft w:val="0"/>
                          <w:marRight w:val="0"/>
                          <w:marTop w:val="0"/>
                          <w:marBottom w:val="0"/>
                          <w:divBdr>
                            <w:top w:val="none" w:sz="0" w:space="0" w:color="auto"/>
                            <w:left w:val="none" w:sz="0" w:space="0" w:color="auto"/>
                            <w:bottom w:val="none" w:sz="0" w:space="0" w:color="auto"/>
                            <w:right w:val="none" w:sz="0" w:space="0" w:color="auto"/>
                          </w:divBdr>
                          <w:divsChild>
                            <w:div w:id="1703439970">
                              <w:marLeft w:val="0"/>
                              <w:marRight w:val="0"/>
                              <w:marTop w:val="0"/>
                              <w:marBottom w:val="0"/>
                              <w:divBdr>
                                <w:top w:val="none" w:sz="0" w:space="0" w:color="auto"/>
                                <w:left w:val="none" w:sz="0" w:space="0" w:color="auto"/>
                                <w:bottom w:val="none" w:sz="0" w:space="0" w:color="auto"/>
                                <w:right w:val="none" w:sz="0" w:space="0" w:color="auto"/>
                              </w:divBdr>
                              <w:divsChild>
                                <w:div w:id="1941252815">
                                  <w:marLeft w:val="0"/>
                                  <w:marRight w:val="0"/>
                                  <w:marTop w:val="0"/>
                                  <w:marBottom w:val="0"/>
                                  <w:divBdr>
                                    <w:top w:val="none" w:sz="0" w:space="0" w:color="auto"/>
                                    <w:left w:val="none" w:sz="0" w:space="0" w:color="auto"/>
                                    <w:bottom w:val="none" w:sz="0" w:space="0" w:color="auto"/>
                                    <w:right w:val="none" w:sz="0" w:space="0" w:color="auto"/>
                                  </w:divBdr>
                                  <w:divsChild>
                                    <w:div w:id="1997761877">
                                      <w:marLeft w:val="0"/>
                                      <w:marRight w:val="0"/>
                                      <w:marTop w:val="0"/>
                                      <w:marBottom w:val="0"/>
                                      <w:divBdr>
                                        <w:top w:val="none" w:sz="0" w:space="0" w:color="auto"/>
                                        <w:left w:val="none" w:sz="0" w:space="0" w:color="auto"/>
                                        <w:bottom w:val="none" w:sz="0" w:space="0" w:color="auto"/>
                                        <w:right w:val="none" w:sz="0" w:space="0" w:color="auto"/>
                                      </w:divBdr>
                                      <w:divsChild>
                                        <w:div w:id="1160121081">
                                          <w:marLeft w:val="0"/>
                                          <w:marRight w:val="0"/>
                                          <w:marTop w:val="0"/>
                                          <w:marBottom w:val="0"/>
                                          <w:divBdr>
                                            <w:top w:val="none" w:sz="0" w:space="0" w:color="auto"/>
                                            <w:left w:val="none" w:sz="0" w:space="0" w:color="auto"/>
                                            <w:bottom w:val="none" w:sz="0" w:space="0" w:color="auto"/>
                                            <w:right w:val="none" w:sz="0" w:space="0" w:color="auto"/>
                                          </w:divBdr>
                                          <w:divsChild>
                                            <w:div w:id="1116486335">
                                              <w:marLeft w:val="0"/>
                                              <w:marRight w:val="0"/>
                                              <w:marTop w:val="0"/>
                                              <w:marBottom w:val="0"/>
                                              <w:divBdr>
                                                <w:top w:val="none" w:sz="0" w:space="0" w:color="auto"/>
                                                <w:left w:val="none" w:sz="0" w:space="0" w:color="auto"/>
                                                <w:bottom w:val="none" w:sz="0" w:space="0" w:color="auto"/>
                                                <w:right w:val="none" w:sz="0" w:space="0" w:color="auto"/>
                                              </w:divBdr>
                                              <w:divsChild>
                                                <w:div w:id="930311167">
                                                  <w:marLeft w:val="0"/>
                                                  <w:marRight w:val="0"/>
                                                  <w:marTop w:val="0"/>
                                                  <w:marBottom w:val="0"/>
                                                  <w:divBdr>
                                                    <w:top w:val="none" w:sz="0" w:space="0" w:color="auto"/>
                                                    <w:left w:val="none" w:sz="0" w:space="0" w:color="auto"/>
                                                    <w:bottom w:val="none" w:sz="0" w:space="0" w:color="auto"/>
                                                    <w:right w:val="none" w:sz="0" w:space="0" w:color="auto"/>
                                                  </w:divBdr>
                                                  <w:divsChild>
                                                    <w:div w:id="806707582">
                                                      <w:marLeft w:val="0"/>
                                                      <w:marRight w:val="0"/>
                                                      <w:marTop w:val="0"/>
                                                      <w:marBottom w:val="0"/>
                                                      <w:divBdr>
                                                        <w:top w:val="none" w:sz="0" w:space="0" w:color="auto"/>
                                                        <w:left w:val="none" w:sz="0" w:space="0" w:color="auto"/>
                                                        <w:bottom w:val="none" w:sz="0" w:space="0" w:color="auto"/>
                                                        <w:right w:val="none" w:sz="0" w:space="0" w:color="auto"/>
                                                      </w:divBdr>
                                                      <w:divsChild>
                                                        <w:div w:id="113884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6027665">
          <w:marLeft w:val="0"/>
          <w:marRight w:val="0"/>
          <w:marTop w:val="0"/>
          <w:marBottom w:val="0"/>
          <w:divBdr>
            <w:top w:val="none" w:sz="0" w:space="0" w:color="auto"/>
            <w:left w:val="none" w:sz="0" w:space="0" w:color="auto"/>
            <w:bottom w:val="none" w:sz="0" w:space="0" w:color="auto"/>
            <w:right w:val="none" w:sz="0" w:space="0" w:color="auto"/>
          </w:divBdr>
          <w:divsChild>
            <w:div w:id="199708268">
              <w:marLeft w:val="0"/>
              <w:marRight w:val="0"/>
              <w:marTop w:val="0"/>
              <w:marBottom w:val="0"/>
              <w:divBdr>
                <w:top w:val="none" w:sz="0" w:space="0" w:color="auto"/>
                <w:left w:val="none" w:sz="0" w:space="0" w:color="auto"/>
                <w:bottom w:val="none" w:sz="0" w:space="0" w:color="auto"/>
                <w:right w:val="none" w:sz="0" w:space="0" w:color="auto"/>
              </w:divBdr>
            </w:div>
          </w:divsChild>
        </w:div>
        <w:div w:id="1132941269">
          <w:marLeft w:val="0"/>
          <w:marRight w:val="0"/>
          <w:marTop w:val="0"/>
          <w:marBottom w:val="0"/>
          <w:divBdr>
            <w:top w:val="none" w:sz="0" w:space="0" w:color="auto"/>
            <w:left w:val="none" w:sz="0" w:space="0" w:color="auto"/>
            <w:bottom w:val="none" w:sz="0" w:space="0" w:color="auto"/>
            <w:right w:val="none" w:sz="0" w:space="0" w:color="auto"/>
          </w:divBdr>
          <w:divsChild>
            <w:div w:id="905605563">
              <w:marLeft w:val="0"/>
              <w:marRight w:val="0"/>
              <w:marTop w:val="0"/>
              <w:marBottom w:val="0"/>
              <w:divBdr>
                <w:top w:val="none" w:sz="0" w:space="0" w:color="auto"/>
                <w:left w:val="none" w:sz="0" w:space="0" w:color="auto"/>
                <w:bottom w:val="none" w:sz="0" w:space="0" w:color="auto"/>
                <w:right w:val="none" w:sz="0" w:space="0" w:color="auto"/>
              </w:divBdr>
              <w:divsChild>
                <w:div w:id="939602128">
                  <w:marLeft w:val="0"/>
                  <w:marRight w:val="0"/>
                  <w:marTop w:val="0"/>
                  <w:marBottom w:val="0"/>
                  <w:divBdr>
                    <w:top w:val="none" w:sz="0" w:space="0" w:color="auto"/>
                    <w:left w:val="none" w:sz="0" w:space="0" w:color="auto"/>
                    <w:bottom w:val="none" w:sz="0" w:space="0" w:color="auto"/>
                    <w:right w:val="none" w:sz="0" w:space="0" w:color="auto"/>
                  </w:divBdr>
                  <w:divsChild>
                    <w:div w:id="235675488">
                      <w:marLeft w:val="0"/>
                      <w:marRight w:val="0"/>
                      <w:marTop w:val="0"/>
                      <w:marBottom w:val="0"/>
                      <w:divBdr>
                        <w:top w:val="none" w:sz="0" w:space="0" w:color="auto"/>
                        <w:left w:val="none" w:sz="0" w:space="0" w:color="auto"/>
                        <w:bottom w:val="none" w:sz="0" w:space="0" w:color="auto"/>
                        <w:right w:val="none" w:sz="0" w:space="0" w:color="auto"/>
                      </w:divBdr>
                      <w:divsChild>
                        <w:div w:id="2093888816">
                          <w:marLeft w:val="0"/>
                          <w:marRight w:val="0"/>
                          <w:marTop w:val="0"/>
                          <w:marBottom w:val="0"/>
                          <w:divBdr>
                            <w:top w:val="none" w:sz="0" w:space="0" w:color="auto"/>
                            <w:left w:val="none" w:sz="0" w:space="0" w:color="auto"/>
                            <w:bottom w:val="none" w:sz="0" w:space="0" w:color="auto"/>
                            <w:right w:val="none" w:sz="0" w:space="0" w:color="auto"/>
                          </w:divBdr>
                          <w:divsChild>
                            <w:div w:id="1777360769">
                              <w:marLeft w:val="0"/>
                              <w:marRight w:val="0"/>
                              <w:marTop w:val="0"/>
                              <w:marBottom w:val="0"/>
                              <w:divBdr>
                                <w:top w:val="none" w:sz="0" w:space="0" w:color="auto"/>
                                <w:left w:val="none" w:sz="0" w:space="0" w:color="auto"/>
                                <w:bottom w:val="none" w:sz="0" w:space="0" w:color="auto"/>
                                <w:right w:val="none" w:sz="0" w:space="0" w:color="auto"/>
                              </w:divBdr>
                              <w:divsChild>
                                <w:div w:id="1018777221">
                                  <w:marLeft w:val="0"/>
                                  <w:marRight w:val="0"/>
                                  <w:marTop w:val="0"/>
                                  <w:marBottom w:val="0"/>
                                  <w:divBdr>
                                    <w:top w:val="none" w:sz="0" w:space="0" w:color="auto"/>
                                    <w:left w:val="none" w:sz="0" w:space="0" w:color="auto"/>
                                    <w:bottom w:val="none" w:sz="0" w:space="0" w:color="auto"/>
                                    <w:right w:val="none" w:sz="0" w:space="0" w:color="auto"/>
                                  </w:divBdr>
                                  <w:divsChild>
                                    <w:div w:id="889070299">
                                      <w:marLeft w:val="0"/>
                                      <w:marRight w:val="0"/>
                                      <w:marTop w:val="0"/>
                                      <w:marBottom w:val="0"/>
                                      <w:divBdr>
                                        <w:top w:val="none" w:sz="0" w:space="0" w:color="auto"/>
                                        <w:left w:val="none" w:sz="0" w:space="0" w:color="auto"/>
                                        <w:bottom w:val="none" w:sz="0" w:space="0" w:color="auto"/>
                                        <w:right w:val="none" w:sz="0" w:space="0" w:color="auto"/>
                                      </w:divBdr>
                                      <w:divsChild>
                                        <w:div w:id="1917200521">
                                          <w:marLeft w:val="0"/>
                                          <w:marRight w:val="0"/>
                                          <w:marTop w:val="0"/>
                                          <w:marBottom w:val="0"/>
                                          <w:divBdr>
                                            <w:top w:val="none" w:sz="0" w:space="0" w:color="auto"/>
                                            <w:left w:val="none" w:sz="0" w:space="0" w:color="auto"/>
                                            <w:bottom w:val="none" w:sz="0" w:space="0" w:color="auto"/>
                                            <w:right w:val="none" w:sz="0" w:space="0" w:color="auto"/>
                                          </w:divBdr>
                                          <w:divsChild>
                                            <w:div w:id="1023045826">
                                              <w:marLeft w:val="0"/>
                                              <w:marRight w:val="0"/>
                                              <w:marTop w:val="0"/>
                                              <w:marBottom w:val="0"/>
                                              <w:divBdr>
                                                <w:top w:val="none" w:sz="0" w:space="0" w:color="auto"/>
                                                <w:left w:val="none" w:sz="0" w:space="0" w:color="auto"/>
                                                <w:bottom w:val="none" w:sz="0" w:space="0" w:color="auto"/>
                                                <w:right w:val="none" w:sz="0" w:space="0" w:color="auto"/>
                                              </w:divBdr>
                                              <w:divsChild>
                                                <w:div w:id="790435793">
                                                  <w:marLeft w:val="0"/>
                                                  <w:marRight w:val="0"/>
                                                  <w:marTop w:val="0"/>
                                                  <w:marBottom w:val="0"/>
                                                  <w:divBdr>
                                                    <w:top w:val="none" w:sz="0" w:space="0" w:color="auto"/>
                                                    <w:left w:val="none" w:sz="0" w:space="0" w:color="auto"/>
                                                    <w:bottom w:val="none" w:sz="0" w:space="0" w:color="auto"/>
                                                    <w:right w:val="none" w:sz="0" w:space="0" w:color="auto"/>
                                                  </w:divBdr>
                                                  <w:divsChild>
                                                    <w:div w:id="461309660">
                                                      <w:marLeft w:val="0"/>
                                                      <w:marRight w:val="0"/>
                                                      <w:marTop w:val="0"/>
                                                      <w:marBottom w:val="0"/>
                                                      <w:divBdr>
                                                        <w:top w:val="none" w:sz="0" w:space="0" w:color="auto"/>
                                                        <w:left w:val="none" w:sz="0" w:space="0" w:color="auto"/>
                                                        <w:bottom w:val="none" w:sz="0" w:space="0" w:color="auto"/>
                                                        <w:right w:val="none" w:sz="0" w:space="0" w:color="auto"/>
                                                      </w:divBdr>
                                                      <w:divsChild>
                                                        <w:div w:id="19967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4190719">
          <w:marLeft w:val="0"/>
          <w:marRight w:val="0"/>
          <w:marTop w:val="0"/>
          <w:marBottom w:val="0"/>
          <w:divBdr>
            <w:top w:val="none" w:sz="0" w:space="0" w:color="auto"/>
            <w:left w:val="none" w:sz="0" w:space="0" w:color="auto"/>
            <w:bottom w:val="none" w:sz="0" w:space="0" w:color="auto"/>
            <w:right w:val="none" w:sz="0" w:space="0" w:color="auto"/>
          </w:divBdr>
          <w:divsChild>
            <w:div w:id="209092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237508">
      <w:bodyDiv w:val="1"/>
      <w:marLeft w:val="0"/>
      <w:marRight w:val="0"/>
      <w:marTop w:val="0"/>
      <w:marBottom w:val="0"/>
      <w:divBdr>
        <w:top w:val="none" w:sz="0" w:space="0" w:color="auto"/>
        <w:left w:val="none" w:sz="0" w:space="0" w:color="auto"/>
        <w:bottom w:val="none" w:sz="0" w:space="0" w:color="auto"/>
        <w:right w:val="none" w:sz="0" w:space="0" w:color="auto"/>
      </w:divBdr>
      <w:divsChild>
        <w:div w:id="204368960">
          <w:marLeft w:val="0"/>
          <w:marRight w:val="0"/>
          <w:marTop w:val="0"/>
          <w:marBottom w:val="0"/>
          <w:divBdr>
            <w:top w:val="none" w:sz="0" w:space="0" w:color="auto"/>
            <w:left w:val="none" w:sz="0" w:space="0" w:color="auto"/>
            <w:bottom w:val="none" w:sz="0" w:space="0" w:color="auto"/>
            <w:right w:val="none" w:sz="0" w:space="0" w:color="auto"/>
          </w:divBdr>
          <w:divsChild>
            <w:div w:id="747189672">
              <w:marLeft w:val="0"/>
              <w:marRight w:val="0"/>
              <w:marTop w:val="0"/>
              <w:marBottom w:val="0"/>
              <w:divBdr>
                <w:top w:val="none" w:sz="0" w:space="0" w:color="auto"/>
                <w:left w:val="none" w:sz="0" w:space="0" w:color="auto"/>
                <w:bottom w:val="none" w:sz="0" w:space="0" w:color="auto"/>
                <w:right w:val="none" w:sz="0" w:space="0" w:color="auto"/>
              </w:divBdr>
              <w:divsChild>
                <w:div w:id="1902053868">
                  <w:marLeft w:val="0"/>
                  <w:marRight w:val="0"/>
                  <w:marTop w:val="0"/>
                  <w:marBottom w:val="0"/>
                  <w:divBdr>
                    <w:top w:val="none" w:sz="0" w:space="0" w:color="auto"/>
                    <w:left w:val="none" w:sz="0" w:space="0" w:color="auto"/>
                    <w:bottom w:val="none" w:sz="0" w:space="0" w:color="auto"/>
                    <w:right w:val="none" w:sz="0" w:space="0" w:color="auto"/>
                  </w:divBdr>
                  <w:divsChild>
                    <w:div w:id="2225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BD6B1-E872-4E04-A819-243D330EF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TBJEE</dc:creator>
  <cp:lastModifiedBy>TBJEE</cp:lastModifiedBy>
  <cp:revision>1</cp:revision>
  <dcterms:created xsi:type="dcterms:W3CDTF">2026-09-11T04:50:00Z</dcterms:created>
  <dcterms:modified xsi:type="dcterms:W3CDTF">2026-09-11T05:06:00Z</dcterms:modified>
</cp:coreProperties>
</file>