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E4A" w:rsidRDefault="00A95725" w:rsidP="00A95725">
      <w:pPr>
        <w:pStyle w:val="NoSpacing"/>
        <w:spacing w:line="360" w:lineRule="auto"/>
        <w:jc w:val="right"/>
        <w:rPr>
          <w:rFonts w:ascii="Bookman Old Style" w:hAnsi="Bookman Old Style"/>
          <w:sz w:val="24"/>
          <w:szCs w:val="24"/>
        </w:rPr>
      </w:pPr>
      <w:r w:rsidRPr="00A95725">
        <w:rPr>
          <w:rFonts w:ascii="Bookman Old Style" w:hAnsi="Bookman Old Style"/>
          <w:sz w:val="24"/>
          <w:szCs w:val="24"/>
        </w:rPr>
        <w:t>S7U4_5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A95725">
        <w:rPr>
          <w:rFonts w:ascii="Bookman Old Style" w:hAnsi="Bookman Old Style"/>
          <w:b/>
          <w:sz w:val="24"/>
          <w:szCs w:val="24"/>
        </w:rPr>
        <w:t xml:space="preserve">Q. Applications in agriculture: </w:t>
      </w:r>
      <w:proofErr w:type="spellStart"/>
      <w:r w:rsidRPr="00A95725">
        <w:rPr>
          <w:rFonts w:ascii="Bookman Old Style" w:hAnsi="Bookman Old Style"/>
          <w:b/>
          <w:sz w:val="24"/>
          <w:szCs w:val="24"/>
        </w:rPr>
        <w:t>biofertilizers</w:t>
      </w:r>
      <w:proofErr w:type="spellEnd"/>
      <w:r w:rsidRPr="00A95725">
        <w:rPr>
          <w:rFonts w:ascii="Bookman Old Style" w:hAnsi="Bookman Old Style"/>
          <w:b/>
          <w:sz w:val="24"/>
          <w:szCs w:val="24"/>
        </w:rPr>
        <w:t xml:space="preserve">, </w:t>
      </w:r>
      <w:proofErr w:type="spellStart"/>
      <w:r w:rsidRPr="00A95725">
        <w:rPr>
          <w:rFonts w:ascii="Bookman Old Style" w:hAnsi="Bookman Old Style"/>
          <w:b/>
          <w:sz w:val="24"/>
          <w:szCs w:val="24"/>
        </w:rPr>
        <w:t>biopesticides</w:t>
      </w:r>
      <w:proofErr w:type="spellEnd"/>
      <w:r w:rsidRPr="00A95725">
        <w:rPr>
          <w:rFonts w:ascii="Bookman Old Style" w:hAnsi="Bookman Old Style"/>
          <w:b/>
          <w:sz w:val="24"/>
          <w:szCs w:val="24"/>
        </w:rPr>
        <w:t xml:space="preserve">, and plant growth-promoting </w:t>
      </w:r>
      <w:proofErr w:type="spellStart"/>
      <w:r w:rsidRPr="00A95725">
        <w:rPr>
          <w:rFonts w:ascii="Bookman Old Style" w:hAnsi="Bookman Old Style"/>
          <w:b/>
          <w:sz w:val="24"/>
          <w:szCs w:val="24"/>
        </w:rPr>
        <w:t>rhizobacteria</w:t>
      </w:r>
      <w:proofErr w:type="spellEnd"/>
      <w:r w:rsidRPr="00A95725">
        <w:rPr>
          <w:rFonts w:ascii="Bookman Old Style" w:hAnsi="Bookman Old Style"/>
          <w:b/>
          <w:sz w:val="24"/>
          <w:szCs w:val="24"/>
        </w:rPr>
        <w:t>.</w:t>
      </w:r>
    </w:p>
    <w:p w:rsidR="00A95725" w:rsidRPr="00A95725" w:rsidRDefault="00A95725" w:rsidP="00A95725">
      <w:pPr>
        <w:pStyle w:val="NoSpacing"/>
        <w:spacing w:line="360" w:lineRule="auto"/>
        <w:jc w:val="right"/>
        <w:rPr>
          <w:rFonts w:ascii="Bookman Old Style" w:hAnsi="Bookman Old Style"/>
          <w:sz w:val="24"/>
          <w:szCs w:val="24"/>
        </w:rPr>
      </w:pP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Applications of Microorganisms in Agriculture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Microorganisms play an important role in </w:t>
      </w: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sustainable agriculture</w:t>
      </w: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by improving soil fertility, promoting plant growth, controlling pests and diseases, and reducing dependence on synthetic fertilizers and pesticides. Important agricultural applications include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biofertilizers</w:t>
      </w:r>
      <w:proofErr w:type="spellEnd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,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biopesticides</w:t>
      </w:r>
      <w:proofErr w:type="spellEnd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, and plant growth-promoting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rhizobacteria</w:t>
      </w:r>
      <w:proofErr w:type="spellEnd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(PGPR)</w:t>
      </w:r>
      <w:r w:rsidRPr="00A95725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1.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Biofertilizers</w:t>
      </w:r>
      <w:proofErr w:type="spellEnd"/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Biofertilizers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are preparations containing living microorganisms that enhance the availability of nutrients to plants through processes such as </w:t>
      </w: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nitrogen fixation, phosphate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solubilization</w:t>
      </w:r>
      <w:proofErr w:type="spellEnd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, potassium mobilization and nutrient cycling</w:t>
      </w:r>
      <w:r w:rsidRPr="00A95725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Important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biofertilizers</w:t>
      </w:r>
      <w:proofErr w:type="spellEnd"/>
    </w:p>
    <w:tbl>
      <w:tblPr>
        <w:tblStyle w:val="TableGrid"/>
        <w:tblW w:w="0" w:type="auto"/>
        <w:tblLook w:val="04A0"/>
      </w:tblPr>
      <w:tblGrid>
        <w:gridCol w:w="3179"/>
        <w:gridCol w:w="4079"/>
        <w:gridCol w:w="2318"/>
      </w:tblGrid>
      <w:tr w:rsidR="00A95725" w:rsidRPr="00A95725" w:rsidTr="00A95725"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Microorganism</w:t>
            </w:r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Major function</w:t>
            </w:r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Example</w:t>
            </w:r>
          </w:p>
        </w:tc>
      </w:tr>
      <w:tr w:rsidR="00A95725" w:rsidRPr="00A95725" w:rsidTr="00A95725"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proofErr w:type="spellStart"/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Rhizobium</w:t>
            </w:r>
            <w:proofErr w:type="spellEnd"/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Biological nitrogen fixation</w:t>
            </w:r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Leguminous crops</w:t>
            </w:r>
          </w:p>
        </w:tc>
      </w:tr>
      <w:tr w:rsidR="00A95725" w:rsidRPr="00A95725" w:rsidTr="00A95725"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proofErr w:type="spellStart"/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Azotobacter</w:t>
            </w:r>
            <w:proofErr w:type="spellEnd"/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Free-living nitrogen fixation</w:t>
            </w:r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Cereals and vegetables</w:t>
            </w:r>
          </w:p>
        </w:tc>
      </w:tr>
      <w:tr w:rsidR="00A95725" w:rsidRPr="00A95725" w:rsidTr="00A95725"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proofErr w:type="spellStart"/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Azospirillum</w:t>
            </w:r>
            <w:proofErr w:type="spellEnd"/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Associative nitrogen fixation and growth promotion</w:t>
            </w:r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Cereals</w:t>
            </w:r>
          </w:p>
        </w:tc>
      </w:tr>
      <w:tr w:rsidR="00A95725" w:rsidRPr="00A95725" w:rsidTr="00A95725"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proofErr w:type="spellStart"/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Cyanobacteria</w:t>
            </w:r>
            <w:proofErr w:type="spellEnd"/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Nitrogen fixation</w:t>
            </w:r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Paddy fields</w:t>
            </w:r>
          </w:p>
        </w:tc>
      </w:tr>
      <w:tr w:rsidR="00A95725" w:rsidRPr="00A95725" w:rsidTr="00A95725"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Phosphate-</w:t>
            </w:r>
            <w:proofErr w:type="spellStart"/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solubilizing</w:t>
            </w:r>
            <w:proofErr w:type="spellEnd"/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 xml:space="preserve"> bacteria</w:t>
            </w:r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proofErr w:type="spellStart"/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Solubilize</w:t>
            </w:r>
            <w:proofErr w:type="spellEnd"/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 xml:space="preserve"> unavailable phosphate</w:t>
            </w:r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Various crops</w:t>
            </w:r>
          </w:p>
        </w:tc>
      </w:tr>
      <w:tr w:rsidR="00A95725" w:rsidRPr="00A95725" w:rsidTr="00A95725"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proofErr w:type="spellStart"/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Mycorrhizal</w:t>
            </w:r>
            <w:proofErr w:type="spellEnd"/>
            <w:r w:rsidRPr="00A95725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 xml:space="preserve"> fungi</w:t>
            </w:r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Improve phosphorus and water uptake</w:t>
            </w:r>
          </w:p>
        </w:tc>
        <w:tc>
          <w:tcPr>
            <w:tcW w:w="0" w:type="auto"/>
            <w:hideMark/>
          </w:tcPr>
          <w:p w:rsidR="00A95725" w:rsidRPr="00A95725" w:rsidRDefault="00A95725" w:rsidP="00A95725">
            <w:pPr>
              <w:pStyle w:val="NoSpacing"/>
              <w:spacing w:line="36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A95725">
              <w:rPr>
                <w:rFonts w:ascii="Bookman Old Style" w:eastAsia="Times New Roman" w:hAnsi="Bookman Old Style" w:cs="Times New Roman"/>
                <w:sz w:val="24"/>
                <w:szCs w:val="24"/>
              </w:rPr>
              <w:t>Many crops</w:t>
            </w:r>
          </w:p>
        </w:tc>
      </w:tr>
    </w:tbl>
    <w:p w:rsid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lastRenderedPageBreak/>
        <w:t>Nitrogen fixation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>Certain microorganisms convert atmospheric nitrogen (</w:t>
      </w: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N</w:t>
      </w:r>
      <w:r w:rsidRPr="00A95725">
        <w:rPr>
          <w:rFonts w:ascii="Times New Roman" w:eastAsia="Times New Roman" w:hAnsi="Times New Roman" w:cs="Times New Roman"/>
          <w:b/>
          <w:bCs/>
          <w:sz w:val="24"/>
          <w:szCs w:val="24"/>
        </w:rPr>
        <w:t>₂</w:t>
      </w:r>
      <w:r w:rsidRPr="00A95725">
        <w:rPr>
          <w:rFonts w:ascii="Bookman Old Style" w:eastAsia="Times New Roman" w:hAnsi="Bookman Old Style" w:cs="Times New Roman"/>
          <w:sz w:val="24"/>
          <w:szCs w:val="24"/>
        </w:rPr>
        <w:t>) into biologically usable nitrogen compounds.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Atmospheric N</w:t>
      </w:r>
      <w:r w:rsidRPr="00A95725">
        <w:rPr>
          <w:rFonts w:ascii="Cambria Math" w:eastAsia="Times New Roman" w:hAnsi="Cambria Math" w:cs="Cambria Math"/>
          <w:sz w:val="24"/>
          <w:szCs w:val="24"/>
        </w:rPr>
        <w:t>₂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↓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Nitrogen-fixing microorganisms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↓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NH</w:t>
      </w:r>
      <w:r w:rsidRPr="00A95725">
        <w:rPr>
          <w:rFonts w:ascii="Cambria Math" w:eastAsia="Times New Roman" w:hAnsi="Cambria Math" w:cs="Cambria Math"/>
          <w:sz w:val="24"/>
          <w:szCs w:val="24"/>
        </w:rPr>
        <w:t>₃</w:t>
      </w:r>
      <w:r w:rsidRPr="00A95725">
        <w:rPr>
          <w:rFonts w:ascii="Bookman Old Style" w:eastAsia="Times New Roman" w:hAnsi="Bookman Old Style" w:cs="Courier New"/>
          <w:sz w:val="24"/>
          <w:szCs w:val="24"/>
        </w:rPr>
        <w:t xml:space="preserve"> / NH</w:t>
      </w:r>
      <w:r w:rsidRPr="00A95725">
        <w:rPr>
          <w:rFonts w:ascii="Cambria Math" w:eastAsia="Times New Roman" w:hAnsi="Cambria Math" w:cs="Cambria Math"/>
          <w:sz w:val="24"/>
          <w:szCs w:val="24"/>
        </w:rPr>
        <w:t>₄⁺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↓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Plant-available nitrogen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↓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Protein &amp; nucleic acid synthesis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↓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Improved plant growth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Rhizobium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forms a symbiotic association with leguminous plants and fixes nitrogen inside specialized </w:t>
      </w: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root nodules</w:t>
      </w:r>
      <w:r w:rsidRPr="00A95725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 xml:space="preserve">2.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Biopesticides</w:t>
      </w:r>
      <w:proofErr w:type="spellEnd"/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Biopesticides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are pest-control products derived from microorganisms or other biological sources. Microbial </w:t>
      </w:r>
      <w:proofErr w:type="spellStart"/>
      <w:r w:rsidRPr="00A95725">
        <w:rPr>
          <w:rFonts w:ascii="Bookman Old Style" w:eastAsia="Times New Roman" w:hAnsi="Bookman Old Style" w:cs="Times New Roman"/>
          <w:sz w:val="24"/>
          <w:szCs w:val="24"/>
        </w:rPr>
        <w:t>biopesticides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can suppress insect pests, plant pathogens and, in some cases, other agricultural pests.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Important microbial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biopesticides</w:t>
      </w:r>
      <w:proofErr w:type="spellEnd"/>
    </w:p>
    <w:p w:rsidR="00A95725" w:rsidRPr="00A95725" w:rsidRDefault="00A95725" w:rsidP="00A95725">
      <w:pPr>
        <w:pStyle w:val="NoSpacing"/>
        <w:spacing w:line="36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Bacillus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thuringiensis</w:t>
      </w:r>
      <w:proofErr w:type="spellEnd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(Bt</w:t>
      </w:r>
      <w:proofErr w:type="gram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)</w:t>
      </w:r>
      <w:proofErr w:type="gramEnd"/>
      <w:r w:rsidRPr="00A95725">
        <w:rPr>
          <w:rFonts w:ascii="Bookman Old Style" w:eastAsia="Times New Roman" w:hAnsi="Bookman Old Style" w:cs="Times New Roman"/>
          <w:sz w:val="24"/>
          <w:szCs w:val="24"/>
        </w:rPr>
        <w:br/>
        <w:t>Produces insecticidal proteins that are toxic to susceptible insect larvae after ingestion.</w:t>
      </w:r>
    </w:p>
    <w:p w:rsidR="00A95725" w:rsidRPr="00A95725" w:rsidRDefault="00A95725" w:rsidP="00A95725">
      <w:pPr>
        <w:pStyle w:val="NoSpacing"/>
        <w:spacing w:line="360" w:lineRule="auto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Beauveria</w:t>
      </w:r>
      <w:proofErr w:type="spellEnd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bassiana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br/>
      </w:r>
      <w:proofErr w:type="gramStart"/>
      <w:r w:rsidRPr="00A95725">
        <w:rPr>
          <w:rFonts w:ascii="Bookman Old Style" w:eastAsia="Times New Roman" w:hAnsi="Bookman Old Style" w:cs="Times New Roman"/>
          <w:sz w:val="24"/>
          <w:szCs w:val="24"/>
        </w:rPr>
        <w:t>An</w:t>
      </w:r>
      <w:proofErr w:type="gram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A95725">
        <w:rPr>
          <w:rFonts w:ascii="Bookman Old Style" w:eastAsia="Times New Roman" w:hAnsi="Bookman Old Style" w:cs="Times New Roman"/>
          <w:sz w:val="24"/>
          <w:szCs w:val="24"/>
        </w:rPr>
        <w:t>entomopathogenic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fungus that infects susceptible insects.</w:t>
      </w:r>
    </w:p>
    <w:p w:rsidR="00A95725" w:rsidRPr="00A95725" w:rsidRDefault="00A95725" w:rsidP="00A95725">
      <w:pPr>
        <w:pStyle w:val="NoSpacing"/>
        <w:spacing w:line="360" w:lineRule="auto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Metarhizium</w:t>
      </w:r>
      <w:proofErr w:type="spellEnd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spp</w:t>
      </w:r>
      <w:proofErr w:type="gram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.</w:t>
      </w:r>
      <w:proofErr w:type="gramEnd"/>
      <w:r w:rsidRPr="00A95725">
        <w:rPr>
          <w:rFonts w:ascii="Bookman Old Style" w:eastAsia="Times New Roman" w:hAnsi="Bookman Old Style" w:cs="Times New Roman"/>
          <w:sz w:val="24"/>
          <w:szCs w:val="24"/>
        </w:rPr>
        <w:br/>
        <w:t>Fungi capable of infecting a range of insect pests.</w:t>
      </w:r>
    </w:p>
    <w:p w:rsidR="00A95725" w:rsidRPr="00A95725" w:rsidRDefault="00A95725" w:rsidP="00A95725">
      <w:pPr>
        <w:pStyle w:val="NoSpacing"/>
        <w:spacing w:line="360" w:lineRule="auto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lastRenderedPageBreak/>
        <w:t>Trichoderma</w:t>
      </w:r>
      <w:proofErr w:type="spellEnd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spp</w:t>
      </w:r>
      <w:proofErr w:type="gram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.</w:t>
      </w:r>
      <w:proofErr w:type="gramEnd"/>
      <w:r w:rsidRPr="00A95725">
        <w:rPr>
          <w:rFonts w:ascii="Bookman Old Style" w:eastAsia="Times New Roman" w:hAnsi="Bookman Old Style" w:cs="Times New Roman"/>
          <w:sz w:val="24"/>
          <w:szCs w:val="24"/>
        </w:rPr>
        <w:br/>
        <w:t xml:space="preserve">Used as microbial </w:t>
      </w:r>
      <w:proofErr w:type="spellStart"/>
      <w:r w:rsidRPr="00A95725">
        <w:rPr>
          <w:rFonts w:ascii="Bookman Old Style" w:eastAsia="Times New Roman" w:hAnsi="Bookman Old Style" w:cs="Times New Roman"/>
          <w:sz w:val="24"/>
          <w:szCs w:val="24"/>
        </w:rPr>
        <w:t>biocontrol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agents against several soil- and plant-associated pathogens.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General mechanism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 xml:space="preserve">Microbial </w:t>
      </w:r>
      <w:proofErr w:type="spellStart"/>
      <w:r w:rsidRPr="00A95725">
        <w:rPr>
          <w:rFonts w:ascii="Bookman Old Style" w:eastAsia="Times New Roman" w:hAnsi="Bookman Old Style" w:cs="Courier New"/>
          <w:sz w:val="24"/>
          <w:szCs w:val="24"/>
        </w:rPr>
        <w:t>biocontrol</w:t>
      </w:r>
      <w:proofErr w:type="spellEnd"/>
      <w:r w:rsidRPr="00A95725">
        <w:rPr>
          <w:rFonts w:ascii="Bookman Old Style" w:eastAsia="Times New Roman" w:hAnsi="Bookman Old Style" w:cs="Courier New"/>
          <w:sz w:val="24"/>
          <w:szCs w:val="24"/>
        </w:rPr>
        <w:t xml:space="preserve"> agent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↓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Colonization / infection / antagonism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↓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Suppression of pest or pathogen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↓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Reduced crop damage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↓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Improved crop health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Advantages</w:t>
      </w:r>
    </w:p>
    <w:p w:rsidR="00A95725" w:rsidRPr="00A95725" w:rsidRDefault="00A95725" w:rsidP="00A95725">
      <w:pPr>
        <w:pStyle w:val="NoSpacing"/>
        <w:numPr>
          <w:ilvl w:val="0"/>
          <w:numId w:val="5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Can reduce reliance on conventional chemical pesticides. </w:t>
      </w:r>
    </w:p>
    <w:p w:rsidR="00A95725" w:rsidRPr="00A95725" w:rsidRDefault="00A95725" w:rsidP="00A95725">
      <w:pPr>
        <w:pStyle w:val="NoSpacing"/>
        <w:numPr>
          <w:ilvl w:val="0"/>
          <w:numId w:val="5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Some products have relatively specific modes of action. </w:t>
      </w:r>
    </w:p>
    <w:p w:rsidR="00A95725" w:rsidRPr="00A95725" w:rsidRDefault="00A95725" w:rsidP="00A95725">
      <w:pPr>
        <w:pStyle w:val="NoSpacing"/>
        <w:numPr>
          <w:ilvl w:val="0"/>
          <w:numId w:val="5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Useful as components of </w:t>
      </w: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integrated pest management (IPM)</w:t>
      </w: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. </w:t>
      </w:r>
    </w:p>
    <w:p w:rsidR="00A95725" w:rsidRPr="00A95725" w:rsidRDefault="00A95725" w:rsidP="00A95725">
      <w:pPr>
        <w:pStyle w:val="NoSpacing"/>
        <w:numPr>
          <w:ilvl w:val="0"/>
          <w:numId w:val="5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Can contribute to environmentally sustainable crop production. 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 xml:space="preserve">3. Plant Growth-Promoting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Rhizobacteria</w:t>
      </w:r>
      <w:proofErr w:type="spellEnd"/>
      <w:r w:rsidRPr="00A9572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 xml:space="preserve"> (PGPR)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Plant growth-promoting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rhizobacteria</w:t>
      </w:r>
      <w:proofErr w:type="spellEnd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(PGPR)</w:t>
      </w: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are beneficial bacteria that colonize the </w:t>
      </w:r>
      <w:proofErr w:type="spellStart"/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rhizosphere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or root surfaces and promote plant growth either directly or indirectly.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>Examples include species belonging to:</w:t>
      </w:r>
    </w:p>
    <w:p w:rsidR="00A95725" w:rsidRPr="00A95725" w:rsidRDefault="00A95725" w:rsidP="00A95725">
      <w:pPr>
        <w:pStyle w:val="NoSpacing"/>
        <w:numPr>
          <w:ilvl w:val="0"/>
          <w:numId w:val="6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i/>
          <w:iCs/>
          <w:sz w:val="24"/>
          <w:szCs w:val="24"/>
        </w:rPr>
        <w:t>Pseudomonas</w:t>
      </w: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</w:p>
    <w:p w:rsidR="00A95725" w:rsidRPr="00A95725" w:rsidRDefault="00A95725" w:rsidP="00A95725">
      <w:pPr>
        <w:pStyle w:val="NoSpacing"/>
        <w:numPr>
          <w:ilvl w:val="0"/>
          <w:numId w:val="6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i/>
          <w:iCs/>
          <w:sz w:val="24"/>
          <w:szCs w:val="24"/>
        </w:rPr>
        <w:t>Bacillus</w:t>
      </w: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</w:p>
    <w:p w:rsidR="00A95725" w:rsidRPr="00A95725" w:rsidRDefault="00A95725" w:rsidP="00A95725">
      <w:pPr>
        <w:pStyle w:val="NoSpacing"/>
        <w:numPr>
          <w:ilvl w:val="0"/>
          <w:numId w:val="6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A95725">
        <w:rPr>
          <w:rFonts w:ascii="Bookman Old Style" w:eastAsia="Times New Roman" w:hAnsi="Bookman Old Style" w:cs="Times New Roman"/>
          <w:i/>
          <w:iCs/>
          <w:sz w:val="24"/>
          <w:szCs w:val="24"/>
        </w:rPr>
        <w:t>Azospirillum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</w:p>
    <w:p w:rsidR="00A95725" w:rsidRPr="00A95725" w:rsidRDefault="00A95725" w:rsidP="00A95725">
      <w:pPr>
        <w:pStyle w:val="NoSpacing"/>
        <w:numPr>
          <w:ilvl w:val="0"/>
          <w:numId w:val="6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A95725">
        <w:rPr>
          <w:rFonts w:ascii="Bookman Old Style" w:eastAsia="Times New Roman" w:hAnsi="Bookman Old Style" w:cs="Times New Roman"/>
          <w:i/>
          <w:iCs/>
          <w:sz w:val="24"/>
          <w:szCs w:val="24"/>
        </w:rPr>
        <w:t>Azotobacter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</w:p>
    <w:p w:rsidR="00A95725" w:rsidRPr="00A95725" w:rsidRDefault="00A95725" w:rsidP="00A95725">
      <w:pPr>
        <w:pStyle w:val="NoSpacing"/>
        <w:numPr>
          <w:ilvl w:val="0"/>
          <w:numId w:val="6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A95725">
        <w:rPr>
          <w:rFonts w:ascii="Bookman Old Style" w:eastAsia="Times New Roman" w:hAnsi="Bookman Old Style" w:cs="Times New Roman"/>
          <w:i/>
          <w:iCs/>
          <w:sz w:val="24"/>
          <w:szCs w:val="24"/>
        </w:rPr>
        <w:t>Enterobacter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</w:p>
    <w:p w:rsid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lastRenderedPageBreak/>
        <w:t>Mechanisms of plant growth promotion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>PGPR can promote plant growth through several mechanisms: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Direct mechanisms</w:t>
      </w:r>
    </w:p>
    <w:p w:rsidR="00A95725" w:rsidRPr="00A95725" w:rsidRDefault="00A95725" w:rsidP="00A95725">
      <w:pPr>
        <w:pStyle w:val="NoSpacing"/>
        <w:numPr>
          <w:ilvl w:val="0"/>
          <w:numId w:val="7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Biological nitrogen fixation </w:t>
      </w:r>
    </w:p>
    <w:p w:rsidR="00A95725" w:rsidRPr="00A95725" w:rsidRDefault="00A95725" w:rsidP="00A95725">
      <w:pPr>
        <w:pStyle w:val="NoSpacing"/>
        <w:numPr>
          <w:ilvl w:val="0"/>
          <w:numId w:val="7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Phosphate </w:t>
      </w:r>
      <w:proofErr w:type="spellStart"/>
      <w:r w:rsidRPr="00A95725">
        <w:rPr>
          <w:rFonts w:ascii="Bookman Old Style" w:eastAsia="Times New Roman" w:hAnsi="Bookman Old Style" w:cs="Times New Roman"/>
          <w:sz w:val="24"/>
          <w:szCs w:val="24"/>
        </w:rPr>
        <w:t>solubilization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</w:p>
    <w:p w:rsidR="00A95725" w:rsidRPr="00A95725" w:rsidRDefault="00A95725" w:rsidP="00A95725">
      <w:pPr>
        <w:pStyle w:val="NoSpacing"/>
        <w:numPr>
          <w:ilvl w:val="0"/>
          <w:numId w:val="7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Production of plant-growth regulators such as </w:t>
      </w: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indole-3-acetic acid (IAA)</w:t>
      </w: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</w:p>
    <w:p w:rsidR="00A95725" w:rsidRPr="00A95725" w:rsidRDefault="00A95725" w:rsidP="00A95725">
      <w:pPr>
        <w:pStyle w:val="NoSpacing"/>
        <w:numPr>
          <w:ilvl w:val="0"/>
          <w:numId w:val="7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Production of </w:t>
      </w:r>
      <w:proofErr w:type="spellStart"/>
      <w:r w:rsidRPr="00A95725">
        <w:rPr>
          <w:rFonts w:ascii="Bookman Old Style" w:eastAsia="Times New Roman" w:hAnsi="Bookman Old Style" w:cs="Times New Roman"/>
          <w:sz w:val="24"/>
          <w:szCs w:val="24"/>
        </w:rPr>
        <w:t>siderophores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that improve iron availability 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Indirect mechanisms</w:t>
      </w:r>
    </w:p>
    <w:p w:rsidR="00A95725" w:rsidRPr="00A95725" w:rsidRDefault="00A95725" w:rsidP="00A95725">
      <w:pPr>
        <w:pStyle w:val="NoSpacing"/>
        <w:numPr>
          <w:ilvl w:val="0"/>
          <w:numId w:val="8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Suppression of plant pathogens </w:t>
      </w:r>
    </w:p>
    <w:p w:rsidR="00A95725" w:rsidRPr="00A95725" w:rsidRDefault="00A95725" w:rsidP="00A95725">
      <w:pPr>
        <w:pStyle w:val="NoSpacing"/>
        <w:numPr>
          <w:ilvl w:val="0"/>
          <w:numId w:val="8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Competition for nutrients and space </w:t>
      </w:r>
    </w:p>
    <w:p w:rsidR="00A95725" w:rsidRPr="00A95725" w:rsidRDefault="00A95725" w:rsidP="00A95725">
      <w:pPr>
        <w:pStyle w:val="NoSpacing"/>
        <w:numPr>
          <w:ilvl w:val="0"/>
          <w:numId w:val="8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Production of antimicrobial compounds </w:t>
      </w:r>
    </w:p>
    <w:p w:rsidR="00A95725" w:rsidRPr="00A95725" w:rsidRDefault="00A95725" w:rsidP="00A95725">
      <w:pPr>
        <w:pStyle w:val="NoSpacing"/>
        <w:numPr>
          <w:ilvl w:val="0"/>
          <w:numId w:val="8"/>
        </w:numPr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Induction of systemic resistance in plants 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PGPR concept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noProof/>
          <w:sz w:val="24"/>
          <w:szCs w:val="24"/>
        </w:rPr>
        <w:drawing>
          <wp:inline distT="0" distB="0" distL="0" distR="0">
            <wp:extent cx="2867660" cy="3599180"/>
            <wp:effectExtent l="19050" t="0" r="889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60" cy="359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4. Integrated Role in Sustainable Agriculture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A95725">
        <w:rPr>
          <w:rFonts w:ascii="Bookman Old Style" w:eastAsia="Times New Roman" w:hAnsi="Bookman Old Style" w:cs="Times New Roman"/>
          <w:sz w:val="24"/>
          <w:szCs w:val="24"/>
        </w:rPr>
        <w:t>Biofertilizers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, </w:t>
      </w:r>
      <w:proofErr w:type="spellStart"/>
      <w:r w:rsidRPr="00A95725">
        <w:rPr>
          <w:rFonts w:ascii="Bookman Old Style" w:eastAsia="Times New Roman" w:hAnsi="Bookman Old Style" w:cs="Times New Roman"/>
          <w:sz w:val="24"/>
          <w:szCs w:val="24"/>
        </w:rPr>
        <w:t>biopesticides</w:t>
      </w:r>
      <w:proofErr w:type="spellEnd"/>
      <w:r w:rsidRPr="00A95725">
        <w:rPr>
          <w:rFonts w:ascii="Bookman Old Style" w:eastAsia="Times New Roman" w:hAnsi="Bookman Old Style" w:cs="Times New Roman"/>
          <w:sz w:val="24"/>
          <w:szCs w:val="24"/>
        </w:rPr>
        <w:t xml:space="preserve"> and PGPR can work together as components of </w:t>
      </w:r>
      <w:r w:rsidRPr="00A95725">
        <w:rPr>
          <w:rFonts w:ascii="Bookman Old Style" w:eastAsia="Times New Roman" w:hAnsi="Bookman Old Style" w:cs="Times New Roman"/>
          <w:b/>
          <w:bCs/>
          <w:sz w:val="24"/>
          <w:szCs w:val="24"/>
        </w:rPr>
        <w:t>microbial-based sustainable agriculture</w:t>
      </w:r>
      <w:r w:rsidRPr="00A95725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 xml:space="preserve">             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lastRenderedPageBreak/>
        <w:t>BENEFICIAL MICROORGANISMS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│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┌──────────────</w:t>
      </w:r>
      <w:r w:rsidRPr="00A95725">
        <w:rPr>
          <w:rFonts w:ascii="Bookman Old Style" w:eastAsia="Times New Roman" w:hAnsi="Bookman Old Style" w:cs="Arial"/>
          <w:sz w:val="24"/>
          <w:szCs w:val="24"/>
        </w:rPr>
        <w:t>┼</w:t>
      </w:r>
      <w:r w:rsidRPr="00A95725">
        <w:rPr>
          <w:rFonts w:ascii="Bookman Old Style" w:eastAsia="Times New Roman" w:hAnsi="Bookman Old Style" w:cs="Calibri"/>
          <w:sz w:val="24"/>
          <w:szCs w:val="24"/>
        </w:rPr>
        <w:t>──────────────┐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Arial"/>
          <w:sz w:val="24"/>
          <w:szCs w:val="24"/>
        </w:rPr>
        <w:t>▼</w:t>
      </w:r>
      <w:r w:rsidRPr="00A95725">
        <w:rPr>
          <w:rFonts w:ascii="Bookman Old Style" w:eastAsia="Times New Roman" w:hAnsi="Bookman Old Style" w:cs="Calibri"/>
          <w:sz w:val="24"/>
          <w:szCs w:val="24"/>
        </w:rPr>
        <w:t xml:space="preserve">              </w:t>
      </w:r>
      <w:proofErr w:type="spellStart"/>
      <w:r w:rsidRPr="00A95725">
        <w:rPr>
          <w:rFonts w:ascii="Bookman Old Style" w:eastAsia="Times New Roman" w:hAnsi="Bookman Old Style" w:cs="Arial"/>
          <w:sz w:val="24"/>
          <w:szCs w:val="24"/>
        </w:rPr>
        <w:t>▼</w:t>
      </w:r>
      <w:proofErr w:type="spellEnd"/>
      <w:r w:rsidRPr="00A95725">
        <w:rPr>
          <w:rFonts w:ascii="Bookman Old Style" w:eastAsia="Times New Roman" w:hAnsi="Bookman Old Style" w:cs="Calibri"/>
          <w:sz w:val="24"/>
          <w:szCs w:val="24"/>
        </w:rPr>
        <w:t xml:space="preserve">              </w:t>
      </w:r>
      <w:proofErr w:type="spellStart"/>
      <w:r w:rsidRPr="00A95725">
        <w:rPr>
          <w:rFonts w:ascii="Bookman Old Style" w:eastAsia="Times New Roman" w:hAnsi="Bookman Old Style" w:cs="Arial"/>
          <w:sz w:val="24"/>
          <w:szCs w:val="24"/>
        </w:rPr>
        <w:t>▼</w:t>
      </w:r>
      <w:proofErr w:type="spellEnd"/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proofErr w:type="spellStart"/>
      <w:proofErr w:type="gramStart"/>
      <w:r w:rsidRPr="00A95725">
        <w:rPr>
          <w:rFonts w:ascii="Bookman Old Style" w:eastAsia="Times New Roman" w:hAnsi="Bookman Old Style" w:cs="Courier New"/>
          <w:sz w:val="24"/>
          <w:szCs w:val="24"/>
        </w:rPr>
        <w:t>Biofertilizers</w:t>
      </w:r>
      <w:proofErr w:type="spellEnd"/>
      <w:r w:rsidRPr="00A95725">
        <w:rPr>
          <w:rFonts w:ascii="Bookman Old Style" w:eastAsia="Times New Roman" w:hAnsi="Bookman Old Style" w:cs="Courier New"/>
          <w:sz w:val="24"/>
          <w:szCs w:val="24"/>
        </w:rPr>
        <w:t xml:space="preserve">  </w:t>
      </w:r>
      <w:proofErr w:type="spellStart"/>
      <w:r w:rsidRPr="00A95725">
        <w:rPr>
          <w:rFonts w:ascii="Bookman Old Style" w:eastAsia="Times New Roman" w:hAnsi="Bookman Old Style" w:cs="Courier New"/>
          <w:sz w:val="24"/>
          <w:szCs w:val="24"/>
        </w:rPr>
        <w:t>Biopesticides</w:t>
      </w:r>
      <w:proofErr w:type="spellEnd"/>
      <w:proofErr w:type="gramEnd"/>
      <w:r w:rsidRPr="00A95725">
        <w:rPr>
          <w:rFonts w:ascii="Bookman Old Style" w:eastAsia="Times New Roman" w:hAnsi="Bookman Old Style" w:cs="Courier New"/>
          <w:sz w:val="24"/>
          <w:szCs w:val="24"/>
        </w:rPr>
        <w:t xml:space="preserve">     PGPR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 xml:space="preserve">│              </w:t>
      </w:r>
      <w:proofErr w:type="spellStart"/>
      <w:r w:rsidRPr="00A95725">
        <w:rPr>
          <w:rFonts w:ascii="Bookman Old Style" w:eastAsia="Times New Roman" w:hAnsi="Bookman Old Style" w:cs="Courier New"/>
          <w:sz w:val="24"/>
          <w:szCs w:val="24"/>
        </w:rPr>
        <w:t>│</w:t>
      </w:r>
      <w:proofErr w:type="spellEnd"/>
      <w:r w:rsidRPr="00A95725">
        <w:rPr>
          <w:rFonts w:ascii="Bookman Old Style" w:eastAsia="Times New Roman" w:hAnsi="Bookman Old Style" w:cs="Courier New"/>
          <w:sz w:val="24"/>
          <w:szCs w:val="24"/>
        </w:rPr>
        <w:t xml:space="preserve">              </w:t>
      </w:r>
      <w:proofErr w:type="spellStart"/>
      <w:r w:rsidRPr="00A95725">
        <w:rPr>
          <w:rFonts w:ascii="Bookman Old Style" w:eastAsia="Times New Roman" w:hAnsi="Bookman Old Style" w:cs="Courier New"/>
          <w:sz w:val="24"/>
          <w:szCs w:val="24"/>
        </w:rPr>
        <w:t>│</w:t>
      </w:r>
      <w:proofErr w:type="spellEnd"/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Nutrient supply   Pest control   Growth promotion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 xml:space="preserve">│              </w:t>
      </w:r>
      <w:proofErr w:type="spellStart"/>
      <w:r w:rsidRPr="00A95725">
        <w:rPr>
          <w:rFonts w:ascii="Bookman Old Style" w:eastAsia="Times New Roman" w:hAnsi="Bookman Old Style" w:cs="Courier New"/>
          <w:sz w:val="24"/>
          <w:szCs w:val="24"/>
        </w:rPr>
        <w:t>│</w:t>
      </w:r>
      <w:proofErr w:type="spellEnd"/>
      <w:r w:rsidRPr="00A95725">
        <w:rPr>
          <w:rFonts w:ascii="Bookman Old Style" w:eastAsia="Times New Roman" w:hAnsi="Bookman Old Style" w:cs="Courier New"/>
          <w:sz w:val="24"/>
          <w:szCs w:val="24"/>
        </w:rPr>
        <w:t xml:space="preserve">              </w:t>
      </w:r>
      <w:proofErr w:type="spellStart"/>
      <w:r w:rsidRPr="00A95725">
        <w:rPr>
          <w:rFonts w:ascii="Bookman Old Style" w:eastAsia="Times New Roman" w:hAnsi="Bookman Old Style" w:cs="Courier New"/>
          <w:sz w:val="24"/>
          <w:szCs w:val="24"/>
        </w:rPr>
        <w:t>│</w:t>
      </w:r>
      <w:proofErr w:type="spellEnd"/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└──────────────</w:t>
      </w:r>
      <w:r w:rsidRPr="00A95725">
        <w:rPr>
          <w:rFonts w:ascii="Bookman Old Style" w:eastAsia="Times New Roman" w:hAnsi="Bookman Old Style" w:cs="Arial"/>
          <w:sz w:val="24"/>
          <w:szCs w:val="24"/>
        </w:rPr>
        <w:t>┼</w:t>
      </w:r>
      <w:r w:rsidRPr="00A95725">
        <w:rPr>
          <w:rFonts w:ascii="Bookman Old Style" w:eastAsia="Times New Roman" w:hAnsi="Bookman Old Style" w:cs="Calibri"/>
          <w:sz w:val="24"/>
          <w:szCs w:val="24"/>
        </w:rPr>
        <w:t>──────────────┘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Arial"/>
          <w:sz w:val="24"/>
          <w:szCs w:val="24"/>
        </w:rPr>
        <w:t>▼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Healthy plants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↓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Better productivity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↓</w:t>
      </w:r>
    </w:p>
    <w:p w:rsidR="00A95725" w:rsidRPr="00A95725" w:rsidRDefault="00A95725" w:rsidP="00A95725">
      <w:pPr>
        <w:pStyle w:val="NoSpacing"/>
        <w:spacing w:line="360" w:lineRule="auto"/>
        <w:jc w:val="center"/>
        <w:rPr>
          <w:rFonts w:ascii="Bookman Old Style" w:eastAsia="Times New Roman" w:hAnsi="Bookman Old Style" w:cs="Courier New"/>
          <w:sz w:val="24"/>
          <w:szCs w:val="24"/>
        </w:rPr>
      </w:pPr>
      <w:r w:rsidRPr="00A95725">
        <w:rPr>
          <w:rFonts w:ascii="Bookman Old Style" w:eastAsia="Times New Roman" w:hAnsi="Bookman Old Style" w:cs="Courier New"/>
          <w:sz w:val="24"/>
          <w:szCs w:val="24"/>
        </w:rPr>
        <w:t>Sustainable agriculture</w:t>
      </w:r>
    </w:p>
    <w:p w:rsid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A95725">
        <w:rPr>
          <w:rFonts w:ascii="Bookman Old Style" w:eastAsia="Times New Roman" w:hAnsi="Bookman Old Style" w:cs="Times New Roman"/>
          <w:bCs/>
          <w:sz w:val="24"/>
          <w:szCs w:val="24"/>
        </w:rPr>
        <w:t xml:space="preserve">Microorganisms are valuable biological resources in agriculture. </w:t>
      </w:r>
      <w:proofErr w:type="spellStart"/>
      <w:r w:rsidRPr="00A95725">
        <w:rPr>
          <w:rFonts w:ascii="Bookman Old Style" w:eastAsia="Times New Roman" w:hAnsi="Bookman Old Style" w:cs="Times New Roman"/>
          <w:bCs/>
          <w:sz w:val="24"/>
          <w:szCs w:val="24"/>
        </w:rPr>
        <w:t>Biofertilizers</w:t>
      </w:r>
      <w:proofErr w:type="spellEnd"/>
      <w:r w:rsidRPr="00A95725">
        <w:rPr>
          <w:rFonts w:ascii="Bookman Old Style" w:eastAsia="Times New Roman" w:hAnsi="Bookman Old Style" w:cs="Times New Roman"/>
          <w:bCs/>
          <w:sz w:val="24"/>
          <w:szCs w:val="24"/>
        </w:rPr>
        <w:t xml:space="preserve"> improve nutrient </w:t>
      </w:r>
      <w:proofErr w:type="gramStart"/>
      <w:r w:rsidRPr="00A95725">
        <w:rPr>
          <w:rFonts w:ascii="Bookman Old Style" w:eastAsia="Times New Roman" w:hAnsi="Bookman Old Style" w:cs="Times New Roman"/>
          <w:bCs/>
          <w:sz w:val="24"/>
          <w:szCs w:val="24"/>
        </w:rPr>
        <w:t>availability,</w:t>
      </w:r>
      <w:proofErr w:type="gramEnd"/>
      <w:r w:rsidRPr="00A95725">
        <w:rPr>
          <w:rFonts w:ascii="Bookman Old Style" w:eastAsia="Times New Roman" w:hAnsi="Bookman Old Style" w:cs="Times New Roman"/>
          <w:bCs/>
          <w:sz w:val="24"/>
          <w:szCs w:val="24"/>
        </w:rPr>
        <w:t xml:space="preserve"> </w:t>
      </w:r>
      <w:proofErr w:type="spellStart"/>
      <w:r w:rsidRPr="00A95725">
        <w:rPr>
          <w:rFonts w:ascii="Bookman Old Style" w:eastAsia="Times New Roman" w:hAnsi="Bookman Old Style" w:cs="Times New Roman"/>
          <w:bCs/>
          <w:sz w:val="24"/>
          <w:szCs w:val="24"/>
        </w:rPr>
        <w:t>biopesticides</w:t>
      </w:r>
      <w:proofErr w:type="spellEnd"/>
      <w:r w:rsidRPr="00A95725">
        <w:rPr>
          <w:rFonts w:ascii="Bookman Old Style" w:eastAsia="Times New Roman" w:hAnsi="Bookman Old Style" w:cs="Times New Roman"/>
          <w:bCs/>
          <w:sz w:val="24"/>
          <w:szCs w:val="24"/>
        </w:rPr>
        <w:t xml:space="preserve"> help control agricultural pests and pathogens, while PGPR enhance plant growth and nutrient acquisition. Their appropriate use can support sustainable crop production and reduce dependence on synthetic agricultural inputs.</w:t>
      </w:r>
    </w:p>
    <w:p w:rsidR="00A95725" w:rsidRPr="00A95725" w:rsidRDefault="00A95725" w:rsidP="00A95725">
      <w:pPr>
        <w:pStyle w:val="NoSpacing"/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sectPr w:rsidR="00A95725" w:rsidRPr="00A95725" w:rsidSect="00033E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2C05"/>
    <w:multiLevelType w:val="hybridMultilevel"/>
    <w:tmpl w:val="05F49D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823C6"/>
    <w:multiLevelType w:val="multilevel"/>
    <w:tmpl w:val="2E000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495634"/>
    <w:multiLevelType w:val="hybridMultilevel"/>
    <w:tmpl w:val="97FC3B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2E1A36"/>
    <w:multiLevelType w:val="multilevel"/>
    <w:tmpl w:val="76784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0171FD"/>
    <w:multiLevelType w:val="hybridMultilevel"/>
    <w:tmpl w:val="6B40D1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CD44F5"/>
    <w:multiLevelType w:val="hybridMultilevel"/>
    <w:tmpl w:val="450400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8843F0"/>
    <w:multiLevelType w:val="multilevel"/>
    <w:tmpl w:val="38A8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EE10B3"/>
    <w:multiLevelType w:val="multilevel"/>
    <w:tmpl w:val="944E0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95725"/>
    <w:rsid w:val="00033E4A"/>
    <w:rsid w:val="00A95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E4A"/>
  </w:style>
  <w:style w:type="paragraph" w:styleId="Heading1">
    <w:name w:val="heading 1"/>
    <w:basedOn w:val="Normal"/>
    <w:link w:val="Heading1Char"/>
    <w:uiPriority w:val="9"/>
    <w:qFormat/>
    <w:rsid w:val="00A957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957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957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72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9572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9572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95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95725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57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5725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95725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95725"/>
    <w:rPr>
      <w:i/>
      <w:iCs/>
    </w:rPr>
  </w:style>
  <w:style w:type="paragraph" w:styleId="NoSpacing">
    <w:name w:val="No Spacing"/>
    <w:uiPriority w:val="1"/>
    <w:qFormat/>
    <w:rsid w:val="00A95725"/>
    <w:pPr>
      <w:spacing w:after="0" w:line="240" w:lineRule="auto"/>
    </w:pPr>
  </w:style>
  <w:style w:type="table" w:styleId="TableGrid">
    <w:name w:val="Table Grid"/>
    <w:basedOn w:val="TableNormal"/>
    <w:uiPriority w:val="59"/>
    <w:rsid w:val="00A957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5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3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0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6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5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31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95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16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792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551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777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8288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1620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2021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60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0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26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27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00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65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73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398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42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409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508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470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0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1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53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7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33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13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37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99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76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747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7955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528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907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54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2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3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4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36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444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137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92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293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06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957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550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TBJEE</dc:creator>
  <cp:lastModifiedBy>TBJEE</cp:lastModifiedBy>
  <cp:revision>1</cp:revision>
  <dcterms:created xsi:type="dcterms:W3CDTF">2026-09-11T05:18:00Z</dcterms:created>
  <dcterms:modified xsi:type="dcterms:W3CDTF">2026-09-11T05:35:00Z</dcterms:modified>
</cp:coreProperties>
</file>